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C67A9" w14:textId="77777777" w:rsidR="00925EF9" w:rsidRDefault="00EA5D4B" w:rsidP="00614DCD">
      <w:pPr>
        <w:widowControl w:val="0"/>
        <w:autoSpaceDE w:val="0"/>
        <w:autoSpaceDN w:val="0"/>
        <w:adjustRightInd w:val="0"/>
        <w:spacing w:before="480" w:after="480" w:line="640" w:lineRule="atLeast"/>
        <w:ind w:left="-540"/>
        <w:textAlignment w:val="center"/>
        <w:rPr>
          <w:rFonts w:ascii="AvenirLTCom-Heavy" w:eastAsia="MS Mincho" w:hAnsi="AvenirLTCom-Heavy" w:cs="AvenirLTCom-Heavy"/>
          <w:color w:val="595959"/>
          <w:sz w:val="48"/>
          <w:szCs w:val="48"/>
          <w:lang w:eastAsia="ja-JP"/>
        </w:rPr>
      </w:pPr>
      <w:bookmarkStart w:id="0" w:name="_GoBack"/>
      <w:bookmarkEnd w:id="0"/>
      <w:r>
        <w:rPr>
          <w:rFonts w:ascii="AvenirLTCom-Heavy" w:eastAsia="MS Mincho" w:hAnsi="AvenirLTCom-Heavy" w:cs="AvenirLTCom-Heavy"/>
          <w:color w:val="595959"/>
          <w:sz w:val="48"/>
          <w:szCs w:val="48"/>
          <w:lang w:eastAsia="ja-JP"/>
        </w:rPr>
        <w:t>Operating Reserve Policy</w:t>
      </w:r>
    </w:p>
    <w:p w14:paraId="3751AD84" w14:textId="77777777" w:rsidR="00925EF9" w:rsidRPr="00EA19D4" w:rsidRDefault="00925EF9" w:rsidP="00925EF9">
      <w:pPr>
        <w:pBdr>
          <w:top w:val="single" w:sz="4" w:space="1" w:color="auto"/>
          <w:left w:val="single" w:sz="4" w:space="4" w:color="auto"/>
          <w:bottom w:val="single" w:sz="4" w:space="1" w:color="auto"/>
          <w:right w:val="single" w:sz="4" w:space="4" w:color="auto"/>
        </w:pBdr>
        <w:spacing w:after="200" w:line="240" w:lineRule="auto"/>
        <w:ind w:left="-540"/>
        <w:rPr>
          <w:rFonts w:ascii="Arial" w:eastAsia="MS Mincho" w:hAnsi="Arial" w:cs="Arial"/>
          <w:b/>
          <w:i/>
          <w:color w:val="000000"/>
          <w:lang w:eastAsia="ja-JP"/>
        </w:rPr>
      </w:pPr>
      <w:r w:rsidRPr="00EA19D4">
        <w:rPr>
          <w:rFonts w:ascii="Arial" w:eastAsia="MS Mincho" w:hAnsi="Arial" w:cs="Arial"/>
          <w:b/>
          <w:i/>
          <w:color w:val="000000"/>
          <w:lang w:eastAsia="ja-JP"/>
        </w:rPr>
        <w:t>About this Tool</w:t>
      </w:r>
    </w:p>
    <w:p w14:paraId="537A62D0" w14:textId="77777777" w:rsidR="00925EF9" w:rsidRPr="00EA19D4" w:rsidRDefault="00EA5D4B" w:rsidP="00EA5D4B">
      <w:pPr>
        <w:pBdr>
          <w:top w:val="single" w:sz="4" w:space="1" w:color="auto"/>
          <w:left w:val="single" w:sz="4" w:space="4" w:color="auto"/>
          <w:bottom w:val="single" w:sz="4" w:space="1" w:color="auto"/>
          <w:right w:val="single" w:sz="4" w:space="4" w:color="auto"/>
        </w:pBdr>
        <w:spacing w:after="200" w:line="240" w:lineRule="auto"/>
        <w:ind w:left="-540"/>
        <w:rPr>
          <w:rFonts w:ascii="Arial" w:eastAsia="MS Mincho" w:hAnsi="Arial" w:cs="Arial"/>
          <w:color w:val="000000"/>
          <w:lang w:eastAsia="ja-JP"/>
        </w:rPr>
      </w:pPr>
      <w:r w:rsidRPr="00EA19D4">
        <w:rPr>
          <w:rFonts w:ascii="Arial" w:eastAsia="MS Mincho" w:hAnsi="Arial" w:cs="Arial"/>
          <w:color w:val="000000"/>
          <w:lang w:eastAsia="ja-JP"/>
        </w:rPr>
        <w:t xml:space="preserve">This tool contains sample elements that can be used in the creation of an operating reserve policy. As with any policy of this nature, the NFP may wish to consult their legal counsel or independent auditor for assistance in developing an operating reserve policy that is appropriate for the organization that has been customized based on the risks, operations and structure of your organization. </w:t>
      </w:r>
    </w:p>
    <w:p w14:paraId="192DB8CE" w14:textId="6E49B82F" w:rsidR="00EA5D4B" w:rsidRPr="00EA19D4" w:rsidRDefault="00EA5D4B" w:rsidP="00EA5D4B">
      <w:pPr>
        <w:spacing w:after="200" w:line="240" w:lineRule="auto"/>
        <w:ind w:left="-540"/>
        <w:rPr>
          <w:rFonts w:ascii="Times New Roman" w:eastAsia="MS Mincho" w:hAnsi="Times New Roman" w:cs="Times New Roman"/>
          <w:color w:val="000000"/>
          <w:lang w:eastAsia="ja-JP"/>
        </w:rPr>
      </w:pPr>
      <w:r w:rsidRPr="00EA19D4">
        <w:rPr>
          <w:rFonts w:ascii="Times New Roman" w:eastAsia="MS Mincho" w:hAnsi="Times New Roman" w:cs="Times New Roman"/>
          <w:color w:val="000000"/>
          <w:lang w:eastAsia="ja-JP"/>
        </w:rPr>
        <w:t>An operating reserve can be a valuable tool to help a not-for-profit entity (NFP) respond to temporary changes in circumstances or in its environment. By building and maintaining an operating reserve, an organization has the ability to better manage its cash flow</w:t>
      </w:r>
      <w:r w:rsidR="00C83787" w:rsidRPr="00EA19D4">
        <w:rPr>
          <w:rFonts w:ascii="Times New Roman" w:eastAsia="MS Mincho" w:hAnsi="Times New Roman" w:cs="Times New Roman"/>
          <w:color w:val="000000"/>
          <w:lang w:eastAsia="ja-JP"/>
        </w:rPr>
        <w:t>s</w:t>
      </w:r>
      <w:r w:rsidRPr="00EA19D4">
        <w:rPr>
          <w:rFonts w:ascii="Times New Roman" w:eastAsia="MS Mincho" w:hAnsi="Times New Roman" w:cs="Times New Roman"/>
          <w:color w:val="000000"/>
          <w:lang w:eastAsia="ja-JP"/>
        </w:rPr>
        <w:t xml:space="preserve"> on a day-to-day basis.</w:t>
      </w:r>
    </w:p>
    <w:p w14:paraId="0A177841" w14:textId="1E9D6B4B" w:rsidR="00EA5D4B" w:rsidRPr="00EA19D4" w:rsidRDefault="00EA5D4B" w:rsidP="00EA5D4B">
      <w:pPr>
        <w:spacing w:after="200" w:line="240" w:lineRule="auto"/>
        <w:ind w:left="-540"/>
        <w:rPr>
          <w:rFonts w:ascii="Times New Roman" w:eastAsia="MS Mincho" w:hAnsi="Times New Roman" w:cs="Times New Roman"/>
          <w:color w:val="000000"/>
          <w:lang w:eastAsia="ja-JP"/>
        </w:rPr>
      </w:pPr>
      <w:r w:rsidRPr="00EA19D4">
        <w:rPr>
          <w:rFonts w:ascii="Times New Roman" w:eastAsia="MS Mincho" w:hAnsi="Times New Roman" w:cs="Times New Roman"/>
          <w:color w:val="000000"/>
          <w:lang w:eastAsia="ja-JP"/>
        </w:rPr>
        <w:t>An operating reserve is an accumulation of resources</w:t>
      </w:r>
      <w:r w:rsidR="001C740F" w:rsidRPr="00EA19D4">
        <w:rPr>
          <w:rFonts w:ascii="Times New Roman" w:eastAsia="MS Mincho" w:hAnsi="Times New Roman" w:cs="Times New Roman"/>
          <w:color w:val="000000"/>
          <w:lang w:eastAsia="ja-JP"/>
        </w:rPr>
        <w:t xml:space="preserve"> without donor restrictions</w:t>
      </w:r>
      <w:r w:rsidRPr="00EA19D4">
        <w:rPr>
          <w:rFonts w:ascii="Times New Roman" w:eastAsia="MS Mincho" w:hAnsi="Times New Roman" w:cs="Times New Roman"/>
          <w:color w:val="000000"/>
          <w:lang w:eastAsia="ja-JP"/>
        </w:rPr>
        <w:t>, often resulting from surpluses, which are available for use at the discretion of the governing board</w:t>
      </w:r>
      <w:r w:rsidR="0084448A" w:rsidRPr="00EA19D4">
        <w:rPr>
          <w:rFonts w:ascii="Times New Roman" w:eastAsia="MS Mincho" w:hAnsi="Times New Roman" w:cs="Times New Roman"/>
          <w:color w:val="000000"/>
          <w:lang w:eastAsia="ja-JP"/>
        </w:rPr>
        <w:t xml:space="preserve"> (</w:t>
      </w:r>
      <w:r w:rsidR="00F74589" w:rsidRPr="00EA19D4">
        <w:rPr>
          <w:rFonts w:ascii="Times New Roman" w:eastAsia="MS Mincho" w:hAnsi="Times New Roman" w:cs="Times New Roman"/>
          <w:color w:val="000000"/>
          <w:lang w:eastAsia="ja-JP"/>
        </w:rPr>
        <w:t>b</w:t>
      </w:r>
      <w:r w:rsidR="0084448A" w:rsidRPr="00EA19D4">
        <w:rPr>
          <w:rFonts w:ascii="Times New Roman" w:eastAsia="MS Mincho" w:hAnsi="Times New Roman" w:cs="Times New Roman"/>
          <w:color w:val="000000"/>
          <w:lang w:eastAsia="ja-JP"/>
        </w:rPr>
        <w:t xml:space="preserve">oard of </w:t>
      </w:r>
      <w:r w:rsidR="00F74589" w:rsidRPr="00EA19D4">
        <w:rPr>
          <w:rFonts w:ascii="Times New Roman" w:eastAsia="MS Mincho" w:hAnsi="Times New Roman" w:cs="Times New Roman"/>
          <w:color w:val="000000"/>
          <w:lang w:eastAsia="ja-JP"/>
        </w:rPr>
        <w:t>d</w:t>
      </w:r>
      <w:r w:rsidR="0084448A" w:rsidRPr="00EA19D4">
        <w:rPr>
          <w:rFonts w:ascii="Times New Roman" w:eastAsia="MS Mincho" w:hAnsi="Times New Roman" w:cs="Times New Roman"/>
          <w:color w:val="000000"/>
          <w:lang w:eastAsia="ja-JP"/>
        </w:rPr>
        <w:t xml:space="preserve">irectors or </w:t>
      </w:r>
      <w:r w:rsidR="00F74589" w:rsidRPr="00EA19D4">
        <w:rPr>
          <w:rFonts w:ascii="Times New Roman" w:eastAsia="MS Mincho" w:hAnsi="Times New Roman" w:cs="Times New Roman"/>
          <w:color w:val="000000"/>
          <w:lang w:eastAsia="ja-JP"/>
        </w:rPr>
        <w:t>b</w:t>
      </w:r>
      <w:r w:rsidR="0084448A" w:rsidRPr="00EA19D4">
        <w:rPr>
          <w:rFonts w:ascii="Times New Roman" w:eastAsia="MS Mincho" w:hAnsi="Times New Roman" w:cs="Times New Roman"/>
          <w:color w:val="000000"/>
          <w:lang w:eastAsia="ja-JP"/>
        </w:rPr>
        <w:t xml:space="preserve">oard of </w:t>
      </w:r>
      <w:r w:rsidR="00F74589" w:rsidRPr="00EA19D4">
        <w:rPr>
          <w:rFonts w:ascii="Times New Roman" w:eastAsia="MS Mincho" w:hAnsi="Times New Roman" w:cs="Times New Roman"/>
          <w:color w:val="000000"/>
          <w:lang w:eastAsia="ja-JP"/>
        </w:rPr>
        <w:t>t</w:t>
      </w:r>
      <w:r w:rsidR="0084448A" w:rsidRPr="00EA19D4">
        <w:rPr>
          <w:rFonts w:ascii="Times New Roman" w:eastAsia="MS Mincho" w:hAnsi="Times New Roman" w:cs="Times New Roman"/>
          <w:color w:val="000000"/>
          <w:lang w:eastAsia="ja-JP"/>
        </w:rPr>
        <w:t>rustees)</w:t>
      </w:r>
      <w:r w:rsidRPr="00EA19D4">
        <w:rPr>
          <w:rFonts w:ascii="Times New Roman" w:eastAsia="MS Mincho" w:hAnsi="Times New Roman" w:cs="Times New Roman"/>
          <w:color w:val="000000"/>
          <w:lang w:eastAsia="ja-JP"/>
        </w:rPr>
        <w:t>. In order for the operating reserve to function effectively, the organization’s board should adopt a formal policy that addresses each of the following items:</w:t>
      </w:r>
    </w:p>
    <w:p w14:paraId="416CF8AE" w14:textId="77777777" w:rsidR="00EA5D4B" w:rsidRPr="00EA19D4" w:rsidRDefault="00EA5D4B" w:rsidP="00EA5D4B">
      <w:pPr>
        <w:pStyle w:val="ListParagraph"/>
        <w:numPr>
          <w:ilvl w:val="0"/>
          <w:numId w:val="4"/>
        </w:numPr>
        <w:spacing w:after="200" w:line="240" w:lineRule="auto"/>
        <w:rPr>
          <w:rFonts w:ascii="Times New Roman" w:eastAsia="MS Mincho" w:hAnsi="Times New Roman" w:cs="Times New Roman"/>
          <w:color w:val="000000"/>
          <w:lang w:eastAsia="ja-JP"/>
        </w:rPr>
      </w:pPr>
      <w:r w:rsidRPr="00EA19D4">
        <w:rPr>
          <w:rFonts w:ascii="Times New Roman" w:eastAsia="MS Mincho" w:hAnsi="Times New Roman" w:cs="Times New Roman"/>
          <w:color w:val="000000"/>
          <w:lang w:eastAsia="ja-JP"/>
        </w:rPr>
        <w:t>the purpose of building and maintaining the reserves,</w:t>
      </w:r>
    </w:p>
    <w:p w14:paraId="0C8D055A" w14:textId="77777777" w:rsidR="00EA5D4B" w:rsidRPr="00EA19D4" w:rsidRDefault="00EA5D4B" w:rsidP="00EA5D4B">
      <w:pPr>
        <w:pStyle w:val="ListParagraph"/>
        <w:numPr>
          <w:ilvl w:val="0"/>
          <w:numId w:val="4"/>
        </w:numPr>
        <w:spacing w:after="200" w:line="240" w:lineRule="auto"/>
        <w:rPr>
          <w:rFonts w:ascii="Times New Roman" w:eastAsia="MS Mincho" w:hAnsi="Times New Roman" w:cs="Times New Roman"/>
          <w:color w:val="000000"/>
          <w:lang w:eastAsia="ja-JP"/>
        </w:rPr>
      </w:pPr>
      <w:r w:rsidRPr="00EA19D4">
        <w:rPr>
          <w:rFonts w:ascii="Times New Roman" w:eastAsia="MS Mincho" w:hAnsi="Times New Roman" w:cs="Times New Roman"/>
          <w:color w:val="000000"/>
          <w:lang w:eastAsia="ja-JP"/>
        </w:rPr>
        <w:t>a calculation of the target amount,</w:t>
      </w:r>
    </w:p>
    <w:p w14:paraId="191314E1" w14:textId="77777777" w:rsidR="00EA5D4B" w:rsidRPr="00EA19D4" w:rsidRDefault="00EA5D4B" w:rsidP="00EA5D4B">
      <w:pPr>
        <w:pStyle w:val="ListParagraph"/>
        <w:numPr>
          <w:ilvl w:val="0"/>
          <w:numId w:val="4"/>
        </w:numPr>
        <w:spacing w:after="200" w:line="240" w:lineRule="auto"/>
        <w:rPr>
          <w:rFonts w:ascii="Times New Roman" w:eastAsia="MS Mincho" w:hAnsi="Times New Roman" w:cs="Times New Roman"/>
          <w:color w:val="000000"/>
          <w:lang w:eastAsia="ja-JP"/>
        </w:rPr>
      </w:pPr>
      <w:r w:rsidRPr="00EA19D4">
        <w:rPr>
          <w:rFonts w:ascii="Times New Roman" w:eastAsia="MS Mincho" w:hAnsi="Times New Roman" w:cs="Times New Roman"/>
          <w:color w:val="000000"/>
          <w:lang w:eastAsia="ja-JP"/>
        </w:rPr>
        <w:t>the intended use of the reserves,</w:t>
      </w:r>
    </w:p>
    <w:p w14:paraId="0C14C4A6" w14:textId="77777777" w:rsidR="00EA5D4B" w:rsidRPr="00EA19D4" w:rsidRDefault="00EA5D4B" w:rsidP="00EA5D4B">
      <w:pPr>
        <w:pStyle w:val="ListParagraph"/>
        <w:numPr>
          <w:ilvl w:val="0"/>
          <w:numId w:val="4"/>
        </w:numPr>
        <w:spacing w:after="200" w:line="240" w:lineRule="auto"/>
        <w:rPr>
          <w:rFonts w:ascii="Times New Roman" w:eastAsia="MS Mincho" w:hAnsi="Times New Roman" w:cs="Times New Roman"/>
          <w:color w:val="000000"/>
          <w:lang w:eastAsia="ja-JP"/>
        </w:rPr>
      </w:pPr>
      <w:r w:rsidRPr="00EA19D4">
        <w:rPr>
          <w:rFonts w:ascii="Times New Roman" w:eastAsia="MS Mincho" w:hAnsi="Times New Roman" w:cs="Times New Roman"/>
          <w:color w:val="000000"/>
          <w:lang w:eastAsia="ja-JP"/>
        </w:rPr>
        <w:t>who will have the authority over use of the reserves,</w:t>
      </w:r>
    </w:p>
    <w:p w14:paraId="13C8BDAB" w14:textId="77777777" w:rsidR="00EA5D4B" w:rsidRPr="00EA19D4" w:rsidRDefault="00EA5D4B" w:rsidP="00EA5D4B">
      <w:pPr>
        <w:pStyle w:val="ListParagraph"/>
        <w:numPr>
          <w:ilvl w:val="0"/>
          <w:numId w:val="4"/>
        </w:numPr>
        <w:spacing w:after="200" w:line="240" w:lineRule="auto"/>
        <w:rPr>
          <w:rFonts w:ascii="Times New Roman" w:eastAsia="MS Mincho" w:hAnsi="Times New Roman" w:cs="Times New Roman"/>
          <w:color w:val="000000"/>
          <w:lang w:eastAsia="ja-JP"/>
        </w:rPr>
      </w:pPr>
      <w:r w:rsidRPr="00EA19D4">
        <w:rPr>
          <w:rFonts w:ascii="Times New Roman" w:eastAsia="MS Mincho" w:hAnsi="Times New Roman" w:cs="Times New Roman"/>
          <w:color w:val="000000"/>
          <w:lang w:eastAsia="ja-JP"/>
        </w:rPr>
        <w:t>how the reserve account will be monitored, and</w:t>
      </w:r>
    </w:p>
    <w:p w14:paraId="172106CA" w14:textId="77777777" w:rsidR="00EA5D4B" w:rsidRPr="00EA19D4" w:rsidRDefault="00EA5D4B" w:rsidP="00EA5D4B">
      <w:pPr>
        <w:pStyle w:val="ListParagraph"/>
        <w:numPr>
          <w:ilvl w:val="0"/>
          <w:numId w:val="4"/>
        </w:numPr>
        <w:spacing w:after="200" w:line="240" w:lineRule="auto"/>
        <w:rPr>
          <w:rFonts w:ascii="Times New Roman" w:eastAsia="MS Mincho" w:hAnsi="Times New Roman" w:cs="Times New Roman"/>
          <w:color w:val="000000"/>
          <w:lang w:eastAsia="ja-JP"/>
        </w:rPr>
      </w:pPr>
      <w:r w:rsidRPr="00EA19D4">
        <w:rPr>
          <w:rFonts w:ascii="Times New Roman" w:eastAsia="MS Mincho" w:hAnsi="Times New Roman" w:cs="Times New Roman"/>
          <w:color w:val="000000"/>
          <w:lang w:eastAsia="ja-JP"/>
        </w:rPr>
        <w:t>a plan for replenishing the reserve balance.</w:t>
      </w:r>
    </w:p>
    <w:p w14:paraId="690E39AA" w14:textId="246847D8" w:rsidR="00EA5D4B" w:rsidRPr="00EA19D4" w:rsidRDefault="00EA5D4B" w:rsidP="00EA5D4B">
      <w:pPr>
        <w:spacing w:after="200" w:line="240" w:lineRule="auto"/>
        <w:ind w:left="-540"/>
        <w:rPr>
          <w:rFonts w:ascii="Times New Roman" w:eastAsia="MS Mincho" w:hAnsi="Times New Roman" w:cs="Times New Roman"/>
          <w:color w:val="000000"/>
          <w:lang w:eastAsia="ja-JP"/>
        </w:rPr>
      </w:pPr>
      <w:r w:rsidRPr="00EA19D4">
        <w:rPr>
          <w:rFonts w:ascii="Times New Roman" w:eastAsia="MS Mincho" w:hAnsi="Times New Roman" w:cs="Times New Roman"/>
          <w:color w:val="000000"/>
          <w:lang w:eastAsia="ja-JP"/>
        </w:rPr>
        <w:t>The various components included here may or may not apply to every NFP and require discussion and decision-making with management, the governing board and the finance committee as deemed appropriate under the circumstances.</w:t>
      </w:r>
    </w:p>
    <w:p w14:paraId="61C71722" w14:textId="77777777" w:rsidR="00EA5D4B" w:rsidRPr="00EA5D4B" w:rsidRDefault="00EA5D4B" w:rsidP="00EA5D4B">
      <w:pPr>
        <w:spacing w:after="200" w:line="240" w:lineRule="auto"/>
        <w:ind w:left="-540"/>
        <w:rPr>
          <w:rFonts w:ascii="Times New Roman" w:eastAsia="MS Mincho" w:hAnsi="Times New Roman" w:cs="Times New Roman"/>
          <w:color w:val="000000"/>
          <w:sz w:val="19"/>
          <w:szCs w:val="19"/>
          <w:lang w:eastAsia="ja-JP"/>
        </w:rPr>
      </w:pPr>
    </w:p>
    <w:p w14:paraId="2DCF4E2B" w14:textId="77777777" w:rsidR="00EA5D4B" w:rsidRPr="00EA5D4B" w:rsidRDefault="00EA5D4B" w:rsidP="00EA5D4B">
      <w:pPr>
        <w:spacing w:after="200" w:line="240" w:lineRule="auto"/>
        <w:ind w:left="-540"/>
        <w:rPr>
          <w:rFonts w:ascii="Times New Roman" w:eastAsia="MS Mincho" w:hAnsi="Times New Roman" w:cs="Times New Roman"/>
          <w:color w:val="000000"/>
          <w:sz w:val="19"/>
          <w:szCs w:val="19"/>
          <w:lang w:eastAsia="ja-JP"/>
        </w:rPr>
      </w:pPr>
    </w:p>
    <w:p w14:paraId="04F680CC" w14:textId="77777777" w:rsidR="00EA5D4B" w:rsidRDefault="00EA5D4B" w:rsidP="00EA5D4B">
      <w:pPr>
        <w:spacing w:after="200" w:line="240" w:lineRule="auto"/>
        <w:ind w:left="-540"/>
        <w:rPr>
          <w:rFonts w:ascii="Times New Roman" w:eastAsia="MS Mincho" w:hAnsi="Times New Roman" w:cs="Times New Roman"/>
          <w:color w:val="000000"/>
          <w:sz w:val="19"/>
          <w:szCs w:val="19"/>
          <w:lang w:eastAsia="ja-JP"/>
        </w:rPr>
      </w:pPr>
    </w:p>
    <w:p w14:paraId="7FB7B5EC" w14:textId="77777777" w:rsidR="00EA5D4B" w:rsidRDefault="00EA5D4B" w:rsidP="00EA5D4B">
      <w:pPr>
        <w:spacing w:after="200" w:line="240" w:lineRule="auto"/>
        <w:ind w:left="-540"/>
        <w:rPr>
          <w:rFonts w:ascii="Times New Roman" w:eastAsia="MS Mincho" w:hAnsi="Times New Roman" w:cs="Times New Roman"/>
          <w:color w:val="000000"/>
          <w:sz w:val="19"/>
          <w:szCs w:val="19"/>
          <w:lang w:eastAsia="ja-JP"/>
        </w:rPr>
      </w:pPr>
    </w:p>
    <w:p w14:paraId="45CB1831" w14:textId="77777777" w:rsidR="00EA5D4B" w:rsidRDefault="00EA5D4B" w:rsidP="00EA5D4B">
      <w:pPr>
        <w:spacing w:after="200" w:line="240" w:lineRule="auto"/>
        <w:ind w:left="-540"/>
        <w:rPr>
          <w:rFonts w:ascii="Times New Roman" w:eastAsia="MS Mincho" w:hAnsi="Times New Roman" w:cs="Times New Roman"/>
          <w:color w:val="000000"/>
          <w:sz w:val="19"/>
          <w:szCs w:val="19"/>
          <w:lang w:eastAsia="ja-JP"/>
        </w:rPr>
      </w:pPr>
    </w:p>
    <w:p w14:paraId="1B6BFA93" w14:textId="77777777" w:rsidR="00EA5D4B" w:rsidRDefault="00EA5D4B" w:rsidP="00EA5D4B">
      <w:pPr>
        <w:spacing w:after="200" w:line="240" w:lineRule="auto"/>
        <w:ind w:left="-540"/>
        <w:rPr>
          <w:rFonts w:ascii="Times New Roman" w:eastAsia="MS Mincho" w:hAnsi="Times New Roman" w:cs="Times New Roman"/>
          <w:color w:val="000000"/>
          <w:sz w:val="19"/>
          <w:szCs w:val="19"/>
          <w:lang w:eastAsia="ja-JP"/>
        </w:rPr>
      </w:pPr>
    </w:p>
    <w:p w14:paraId="1878AD06" w14:textId="77777777" w:rsidR="00EA5D4B" w:rsidRPr="00EA5D4B" w:rsidRDefault="00EA5D4B" w:rsidP="00EA5D4B">
      <w:pPr>
        <w:spacing w:after="200" w:line="240" w:lineRule="auto"/>
        <w:ind w:left="-540"/>
        <w:rPr>
          <w:rFonts w:ascii="Times New Roman" w:eastAsia="MS Mincho" w:hAnsi="Times New Roman" w:cs="Times New Roman"/>
          <w:color w:val="000000"/>
          <w:sz w:val="19"/>
          <w:szCs w:val="19"/>
          <w:lang w:eastAsia="ja-JP"/>
        </w:rPr>
      </w:pPr>
      <w:r w:rsidRPr="00EA5D4B">
        <w:rPr>
          <w:rFonts w:ascii="Times New Roman" w:eastAsia="MS Mincho" w:hAnsi="Times New Roman" w:cs="Times New Roman"/>
          <w:color w:val="000000"/>
          <w:sz w:val="19"/>
          <w:szCs w:val="19"/>
          <w:lang w:eastAsia="ja-JP"/>
        </w:rPr>
        <w:tab/>
      </w:r>
    </w:p>
    <w:p w14:paraId="68928DED" w14:textId="77777777" w:rsidR="00EA5D4B" w:rsidRPr="00EA5D4B" w:rsidRDefault="00EA5D4B" w:rsidP="00EA5D4B">
      <w:pPr>
        <w:spacing w:after="200" w:line="240" w:lineRule="auto"/>
        <w:ind w:left="-540"/>
        <w:rPr>
          <w:rFonts w:ascii="Times New Roman" w:eastAsia="MS Mincho" w:hAnsi="Times New Roman" w:cs="Times New Roman"/>
          <w:color w:val="000000"/>
          <w:sz w:val="19"/>
          <w:szCs w:val="19"/>
          <w:lang w:eastAsia="ja-JP"/>
        </w:rPr>
      </w:pPr>
      <w:r w:rsidRPr="00EA5D4B">
        <w:rPr>
          <w:rFonts w:ascii="Times New Roman" w:eastAsia="MS Mincho" w:hAnsi="Times New Roman" w:cs="Times New Roman"/>
          <w:color w:val="000000"/>
          <w:sz w:val="19"/>
          <w:szCs w:val="19"/>
          <w:lang w:eastAsia="ja-JP"/>
        </w:rPr>
        <w:t> </w:t>
      </w:r>
    </w:p>
    <w:p w14:paraId="595BB9A1" w14:textId="6ECE7239" w:rsidR="00EA5D4B" w:rsidRPr="00EA5D4B" w:rsidRDefault="00EA5D4B" w:rsidP="00EA5D4B">
      <w:pPr>
        <w:spacing w:after="200" w:line="240" w:lineRule="auto"/>
        <w:ind w:left="-540"/>
        <w:jc w:val="center"/>
        <w:rPr>
          <w:rFonts w:ascii="Arial" w:eastAsia="MS Mincho" w:hAnsi="Arial" w:cs="Arial"/>
          <w:i/>
          <w:color w:val="000000"/>
          <w:sz w:val="28"/>
          <w:szCs w:val="28"/>
          <w:lang w:eastAsia="ja-JP"/>
        </w:rPr>
      </w:pPr>
      <w:r w:rsidRPr="00EA5D4B">
        <w:rPr>
          <w:rFonts w:ascii="Arial" w:eastAsia="MS Mincho" w:hAnsi="Arial" w:cs="Arial"/>
          <w:i/>
          <w:color w:val="000000"/>
          <w:sz w:val="28"/>
          <w:szCs w:val="28"/>
          <w:lang w:eastAsia="ja-JP"/>
        </w:rPr>
        <w:lastRenderedPageBreak/>
        <w:t>NAME OF ORGANIZATION</w:t>
      </w:r>
    </w:p>
    <w:p w14:paraId="2EED2AFC" w14:textId="77777777" w:rsidR="00EA5D4B" w:rsidRPr="00EA5D4B" w:rsidRDefault="00EA5D4B" w:rsidP="00EA5D4B">
      <w:pPr>
        <w:spacing w:after="200" w:line="240" w:lineRule="auto"/>
        <w:ind w:left="-540"/>
        <w:jc w:val="center"/>
        <w:rPr>
          <w:rFonts w:ascii="Arial" w:eastAsia="MS Mincho" w:hAnsi="Arial" w:cs="Arial"/>
          <w:i/>
          <w:color w:val="000000"/>
          <w:sz w:val="28"/>
          <w:szCs w:val="28"/>
          <w:lang w:eastAsia="ja-JP"/>
        </w:rPr>
      </w:pPr>
      <w:r w:rsidRPr="00EA5D4B">
        <w:rPr>
          <w:rFonts w:ascii="Arial" w:eastAsia="MS Mincho" w:hAnsi="Arial" w:cs="Arial"/>
          <w:i/>
          <w:color w:val="000000"/>
          <w:sz w:val="28"/>
          <w:szCs w:val="28"/>
          <w:lang w:eastAsia="ja-JP"/>
        </w:rPr>
        <w:t>OPERATING RESERVE POLICY</w:t>
      </w:r>
    </w:p>
    <w:p w14:paraId="5B96C2B0" w14:textId="77777777" w:rsidR="00EA5D4B" w:rsidRPr="00EA19D4" w:rsidRDefault="00EA5D4B" w:rsidP="00EA5D4B">
      <w:pPr>
        <w:pStyle w:val="ListParagraph"/>
        <w:numPr>
          <w:ilvl w:val="0"/>
          <w:numId w:val="5"/>
        </w:numPr>
        <w:spacing w:after="200" w:line="240" w:lineRule="auto"/>
        <w:rPr>
          <w:rFonts w:ascii="Times New Roman" w:eastAsia="MS Mincho" w:hAnsi="Times New Roman" w:cs="Times New Roman"/>
          <w:color w:val="000000"/>
          <w:lang w:eastAsia="ja-JP"/>
        </w:rPr>
      </w:pPr>
      <w:r w:rsidRPr="00EA19D4">
        <w:rPr>
          <w:rFonts w:ascii="Times New Roman" w:eastAsia="MS Mincho" w:hAnsi="Times New Roman" w:cs="Times New Roman"/>
          <w:color w:val="000000"/>
          <w:lang w:eastAsia="ja-JP"/>
        </w:rPr>
        <w:t>PURPOSE</w:t>
      </w:r>
    </w:p>
    <w:p w14:paraId="41B7BC2B" w14:textId="1829D7D1" w:rsidR="00EA5D4B" w:rsidRPr="00EA19D4" w:rsidRDefault="00EA5D4B" w:rsidP="00EA5D4B">
      <w:pPr>
        <w:pStyle w:val="ListParagraph"/>
        <w:spacing w:after="200" w:line="240" w:lineRule="auto"/>
        <w:ind w:left="180"/>
        <w:rPr>
          <w:rFonts w:ascii="Times New Roman" w:eastAsia="MS Mincho" w:hAnsi="Times New Roman" w:cs="Times New Roman"/>
          <w:color w:val="000000"/>
          <w:lang w:eastAsia="ja-JP"/>
        </w:rPr>
      </w:pPr>
      <w:r w:rsidRPr="00EA19D4">
        <w:rPr>
          <w:rFonts w:ascii="Times New Roman" w:eastAsia="MS Mincho" w:hAnsi="Times New Roman" w:cs="Times New Roman"/>
          <w:color w:val="000000"/>
          <w:lang w:eastAsia="ja-JP"/>
        </w:rPr>
        <w:t xml:space="preserve">The purpose of this Operating Reserve Policy for [insert name of Organization] is to build and maintain an adequate level of net assets </w:t>
      </w:r>
      <w:r w:rsidR="001C740F" w:rsidRPr="00EA19D4">
        <w:rPr>
          <w:rFonts w:ascii="Times New Roman" w:eastAsia="MS Mincho" w:hAnsi="Times New Roman" w:cs="Times New Roman"/>
          <w:color w:val="000000"/>
          <w:lang w:eastAsia="ja-JP"/>
        </w:rPr>
        <w:t xml:space="preserve">without donor restrictions </w:t>
      </w:r>
      <w:r w:rsidRPr="00EA19D4">
        <w:rPr>
          <w:rFonts w:ascii="Times New Roman" w:eastAsia="MS Mincho" w:hAnsi="Times New Roman" w:cs="Times New Roman"/>
          <w:color w:val="000000"/>
          <w:lang w:eastAsia="ja-JP"/>
        </w:rPr>
        <w:t>to support the organization’s day-to-day operations in the event of unforeseen shortfalls. The reserve may also be used for one-time, nonrecurring expenses that will build long-term capacity, such as staff development, research and development, or investment in infrastructure. Operating reserves are not intended to replace a permanent loss of funds or eliminate an ongoing budget gap. The organization intends for the operating reserves to be used and replenished within a reasonable period of time. This Operating Reserve Policy will be implemented in conjunction with the other financial policies of the organization and is intended to support the goals and strategies contained in those related policies and in strategic and operational plans.</w:t>
      </w:r>
    </w:p>
    <w:p w14:paraId="40BA9C7B" w14:textId="77777777" w:rsidR="00595EC1" w:rsidRPr="00EA19D4" w:rsidRDefault="00595EC1" w:rsidP="00EA5D4B">
      <w:pPr>
        <w:pStyle w:val="ListParagraph"/>
        <w:spacing w:after="200" w:line="240" w:lineRule="auto"/>
        <w:ind w:left="180"/>
        <w:rPr>
          <w:rFonts w:ascii="Times New Roman" w:eastAsia="MS Mincho" w:hAnsi="Times New Roman" w:cs="Times New Roman"/>
          <w:color w:val="000000"/>
          <w:lang w:eastAsia="ja-JP"/>
        </w:rPr>
      </w:pPr>
    </w:p>
    <w:p w14:paraId="5211F2E0" w14:textId="77777777" w:rsidR="00EA5D4B" w:rsidRPr="00EA19D4" w:rsidRDefault="00EA5D4B" w:rsidP="00EA5D4B">
      <w:pPr>
        <w:pStyle w:val="ListParagraph"/>
        <w:numPr>
          <w:ilvl w:val="0"/>
          <w:numId w:val="5"/>
        </w:numPr>
        <w:spacing w:after="200" w:line="240" w:lineRule="auto"/>
        <w:rPr>
          <w:rFonts w:ascii="Times New Roman" w:eastAsia="MS Mincho" w:hAnsi="Times New Roman" w:cs="Times New Roman"/>
          <w:color w:val="000000"/>
          <w:lang w:eastAsia="ja-JP"/>
        </w:rPr>
      </w:pPr>
      <w:r w:rsidRPr="00EA19D4">
        <w:rPr>
          <w:rFonts w:ascii="Times New Roman" w:eastAsia="MS Mincho" w:hAnsi="Times New Roman" w:cs="Times New Roman"/>
          <w:color w:val="000000"/>
          <w:lang w:eastAsia="ja-JP"/>
        </w:rPr>
        <w:t>DEFINITIONS AND GOALS</w:t>
      </w:r>
    </w:p>
    <w:p w14:paraId="159F4D33" w14:textId="18492FEA" w:rsidR="00595EC1" w:rsidRPr="00EA19D4" w:rsidRDefault="00EA5D4B" w:rsidP="00595EC1">
      <w:pPr>
        <w:pStyle w:val="ListParagraph"/>
        <w:spacing w:after="200" w:line="240" w:lineRule="auto"/>
        <w:ind w:left="180"/>
        <w:rPr>
          <w:rFonts w:ascii="Times New Roman" w:eastAsia="MS Mincho" w:hAnsi="Times New Roman" w:cs="Times New Roman"/>
          <w:color w:val="000000"/>
          <w:lang w:eastAsia="ja-JP"/>
        </w:rPr>
      </w:pPr>
      <w:r w:rsidRPr="00EA19D4">
        <w:rPr>
          <w:rFonts w:ascii="Times New Roman" w:eastAsia="MS Mincho" w:hAnsi="Times New Roman" w:cs="Times New Roman"/>
          <w:color w:val="000000"/>
          <w:lang w:eastAsia="ja-JP"/>
        </w:rPr>
        <w:t xml:space="preserve">The Operating Reserve Fund is defined as the designated fund set aside by action of the </w:t>
      </w:r>
      <w:r w:rsidR="0084448A" w:rsidRPr="00EA19D4">
        <w:rPr>
          <w:rFonts w:ascii="Times New Roman" w:eastAsia="MS Mincho" w:hAnsi="Times New Roman" w:cs="Times New Roman"/>
          <w:color w:val="000000"/>
          <w:lang w:eastAsia="ja-JP"/>
        </w:rPr>
        <w:t>governing board</w:t>
      </w:r>
      <w:r w:rsidRPr="00EA19D4">
        <w:rPr>
          <w:rFonts w:ascii="Times New Roman" w:eastAsia="MS Mincho" w:hAnsi="Times New Roman" w:cs="Times New Roman"/>
          <w:color w:val="000000"/>
          <w:lang w:eastAsia="ja-JP"/>
        </w:rPr>
        <w:t>. The minimum amount to be designated as operating reserve</w:t>
      </w:r>
      <w:r w:rsidR="00E4431E" w:rsidRPr="00EA19D4">
        <w:rPr>
          <w:rFonts w:ascii="Times New Roman" w:eastAsia="MS Mincho" w:hAnsi="Times New Roman" w:cs="Times New Roman"/>
          <w:color w:val="000000"/>
          <w:lang w:eastAsia="ja-JP"/>
        </w:rPr>
        <w:t>s</w:t>
      </w:r>
      <w:r w:rsidRPr="00EA19D4">
        <w:rPr>
          <w:rFonts w:ascii="Times New Roman" w:eastAsia="MS Mincho" w:hAnsi="Times New Roman" w:cs="Times New Roman"/>
          <w:color w:val="000000"/>
          <w:lang w:eastAsia="ja-JP"/>
        </w:rPr>
        <w:t xml:space="preserve"> will be established in an amount sufficient to maintain ongoing operations and programs for a set period of time, measured in months. The operating reserve serves a dynamic role and will be reviewed and adjusted in response to internal and external changes. [Describe short term goals if reserves are currently less than six months. Describe capacity building goals, if any.]</w:t>
      </w:r>
    </w:p>
    <w:p w14:paraId="1B615E7E" w14:textId="77777777" w:rsidR="00EA5D4B" w:rsidRPr="00EA19D4" w:rsidRDefault="00EA5D4B" w:rsidP="00595EC1">
      <w:pPr>
        <w:pStyle w:val="ListParagraph"/>
        <w:spacing w:after="200" w:line="240" w:lineRule="auto"/>
        <w:ind w:left="180"/>
        <w:rPr>
          <w:rFonts w:ascii="Times New Roman" w:eastAsia="MS Mincho" w:hAnsi="Times New Roman" w:cs="Times New Roman"/>
          <w:color w:val="000000"/>
          <w:lang w:eastAsia="ja-JP"/>
        </w:rPr>
      </w:pPr>
      <w:r w:rsidRPr="00EA19D4">
        <w:rPr>
          <w:rFonts w:ascii="Times New Roman" w:eastAsia="MS Mincho" w:hAnsi="Times New Roman" w:cs="Times New Roman"/>
          <w:color w:val="000000"/>
          <w:lang w:eastAsia="ja-JP"/>
        </w:rPr>
        <w:t xml:space="preserve"> </w:t>
      </w:r>
    </w:p>
    <w:p w14:paraId="0172CDC3" w14:textId="77777777" w:rsidR="00EA5D4B" w:rsidRPr="00EA19D4" w:rsidRDefault="00EA5D4B" w:rsidP="00595EC1">
      <w:pPr>
        <w:pStyle w:val="ListParagraph"/>
        <w:spacing w:after="200" w:line="240" w:lineRule="auto"/>
        <w:ind w:left="180"/>
        <w:rPr>
          <w:rFonts w:ascii="Times New Roman" w:eastAsia="MS Mincho" w:hAnsi="Times New Roman" w:cs="Times New Roman"/>
          <w:color w:val="000000"/>
          <w:lang w:eastAsia="ja-JP"/>
        </w:rPr>
      </w:pPr>
      <w:r w:rsidRPr="00EA19D4">
        <w:rPr>
          <w:rFonts w:ascii="Times New Roman" w:eastAsia="MS Mincho" w:hAnsi="Times New Roman" w:cs="Times New Roman"/>
          <w:color w:val="000000"/>
          <w:lang w:eastAsia="ja-JP"/>
        </w:rPr>
        <w:t xml:space="preserve">The target minimum Operating Reserve Fund is equal to [insert adequate number of months] months of average recurring operating costs. [The actual calculation of average recurring operating costs can vary between organizations, so describe the organization’s specific calculation for measuring.] </w:t>
      </w:r>
    </w:p>
    <w:p w14:paraId="2C4C57FB" w14:textId="77777777" w:rsidR="00595EC1" w:rsidRPr="00EA19D4" w:rsidRDefault="00595EC1" w:rsidP="00595EC1">
      <w:pPr>
        <w:pStyle w:val="ListParagraph"/>
        <w:spacing w:after="200" w:line="240" w:lineRule="auto"/>
        <w:ind w:left="180"/>
        <w:rPr>
          <w:rFonts w:ascii="Times New Roman" w:eastAsia="MS Mincho" w:hAnsi="Times New Roman" w:cs="Times New Roman"/>
          <w:color w:val="000000"/>
          <w:lang w:eastAsia="ja-JP"/>
        </w:rPr>
      </w:pPr>
    </w:p>
    <w:p w14:paraId="07D7FD1F" w14:textId="4ABFE652" w:rsidR="00EA5D4B" w:rsidRPr="00EA19D4" w:rsidRDefault="00EA5D4B" w:rsidP="00595EC1">
      <w:pPr>
        <w:pStyle w:val="ListParagraph"/>
        <w:spacing w:after="200" w:line="240" w:lineRule="auto"/>
        <w:ind w:left="180"/>
        <w:rPr>
          <w:rFonts w:ascii="Times New Roman" w:eastAsia="MS Mincho" w:hAnsi="Times New Roman" w:cs="Times New Roman"/>
          <w:color w:val="000000"/>
          <w:lang w:eastAsia="ja-JP"/>
        </w:rPr>
      </w:pPr>
      <w:r w:rsidRPr="00EA19D4">
        <w:rPr>
          <w:rFonts w:ascii="Times New Roman" w:eastAsia="MS Mincho" w:hAnsi="Times New Roman" w:cs="Times New Roman"/>
          <w:color w:val="000000"/>
          <w:lang w:eastAsia="ja-JP"/>
        </w:rPr>
        <w:t xml:space="preserve">In addition to calculating the actual operating reserve at the fiscal year-end, the operating reserve fund target minimum will be calculated each year after approval of the annual budget. These reserves will be reported to </w:t>
      </w:r>
      <w:r w:rsidR="00E4431E" w:rsidRPr="00EA19D4">
        <w:rPr>
          <w:rFonts w:ascii="Times New Roman" w:eastAsia="MS Mincho" w:hAnsi="Times New Roman" w:cs="Times New Roman"/>
          <w:color w:val="000000"/>
          <w:lang w:eastAsia="ja-JP"/>
        </w:rPr>
        <w:t xml:space="preserve">[identify who will receive the reports, i.e. </w:t>
      </w:r>
      <w:r w:rsidRPr="00EA19D4">
        <w:rPr>
          <w:rFonts w:ascii="Times New Roman" w:eastAsia="MS Mincho" w:hAnsi="Times New Roman" w:cs="Times New Roman"/>
          <w:color w:val="000000"/>
          <w:lang w:eastAsia="ja-JP"/>
        </w:rPr>
        <w:t xml:space="preserve">the Finance Committee and </w:t>
      </w:r>
      <w:r w:rsidR="0084448A" w:rsidRPr="00EA19D4">
        <w:rPr>
          <w:rFonts w:ascii="Times New Roman" w:eastAsia="MS Mincho" w:hAnsi="Times New Roman" w:cs="Times New Roman"/>
          <w:color w:val="000000"/>
          <w:lang w:eastAsia="ja-JP"/>
        </w:rPr>
        <w:t>governing board]</w:t>
      </w:r>
      <w:r w:rsidRPr="00EA19D4">
        <w:rPr>
          <w:rFonts w:ascii="Times New Roman" w:eastAsia="MS Mincho" w:hAnsi="Times New Roman" w:cs="Times New Roman"/>
          <w:color w:val="000000"/>
          <w:lang w:eastAsia="ja-JP"/>
        </w:rPr>
        <w:t xml:space="preserve"> and included in the regular financial reports</w:t>
      </w:r>
      <w:r w:rsidR="001C740F" w:rsidRPr="00EA19D4">
        <w:rPr>
          <w:rFonts w:ascii="Times New Roman" w:eastAsia="MS Mincho" w:hAnsi="Times New Roman" w:cs="Times New Roman"/>
          <w:color w:val="000000"/>
          <w:lang w:eastAsia="ja-JP"/>
        </w:rPr>
        <w:t xml:space="preserve"> and/or dashboards</w:t>
      </w:r>
      <w:r w:rsidRPr="00EA19D4">
        <w:rPr>
          <w:rFonts w:ascii="Times New Roman" w:eastAsia="MS Mincho" w:hAnsi="Times New Roman" w:cs="Times New Roman"/>
          <w:color w:val="000000"/>
          <w:lang w:eastAsia="ja-JP"/>
        </w:rPr>
        <w:t>.</w:t>
      </w:r>
    </w:p>
    <w:p w14:paraId="04165170" w14:textId="77777777" w:rsidR="00595EC1" w:rsidRPr="00EA19D4" w:rsidRDefault="00595EC1" w:rsidP="00595EC1">
      <w:pPr>
        <w:pStyle w:val="ListParagraph"/>
        <w:spacing w:after="200" w:line="240" w:lineRule="auto"/>
        <w:ind w:left="180"/>
        <w:rPr>
          <w:rFonts w:ascii="Times New Roman" w:eastAsia="MS Mincho" w:hAnsi="Times New Roman" w:cs="Times New Roman"/>
          <w:color w:val="000000"/>
          <w:lang w:eastAsia="ja-JP"/>
        </w:rPr>
      </w:pPr>
    </w:p>
    <w:p w14:paraId="673EF63C" w14:textId="77777777" w:rsidR="00EA5D4B" w:rsidRPr="00EA19D4" w:rsidRDefault="00EA5D4B" w:rsidP="00EA5D4B">
      <w:pPr>
        <w:pStyle w:val="ListParagraph"/>
        <w:numPr>
          <w:ilvl w:val="0"/>
          <w:numId w:val="5"/>
        </w:numPr>
        <w:spacing w:after="200" w:line="240" w:lineRule="auto"/>
        <w:rPr>
          <w:rFonts w:ascii="Times New Roman" w:eastAsia="MS Mincho" w:hAnsi="Times New Roman" w:cs="Times New Roman"/>
          <w:color w:val="000000"/>
          <w:lang w:eastAsia="ja-JP"/>
        </w:rPr>
      </w:pPr>
      <w:r w:rsidRPr="00EA19D4">
        <w:rPr>
          <w:rFonts w:ascii="Times New Roman" w:eastAsia="MS Mincho" w:hAnsi="Times New Roman" w:cs="Times New Roman"/>
          <w:color w:val="000000"/>
          <w:lang w:eastAsia="ja-JP"/>
        </w:rPr>
        <w:t>ACCOUNTING FOR RESERVES</w:t>
      </w:r>
    </w:p>
    <w:p w14:paraId="75795B5C" w14:textId="77777777" w:rsidR="00EA5D4B" w:rsidRPr="00EA19D4" w:rsidRDefault="00EA5D4B" w:rsidP="00595EC1">
      <w:pPr>
        <w:pStyle w:val="ListParagraph"/>
        <w:spacing w:after="200" w:line="240" w:lineRule="auto"/>
        <w:ind w:left="180"/>
        <w:rPr>
          <w:rFonts w:ascii="Times New Roman" w:eastAsia="MS Mincho" w:hAnsi="Times New Roman" w:cs="Times New Roman"/>
          <w:color w:val="000000"/>
          <w:lang w:eastAsia="ja-JP"/>
        </w:rPr>
      </w:pPr>
      <w:r w:rsidRPr="00EA19D4">
        <w:rPr>
          <w:rFonts w:ascii="Times New Roman" w:eastAsia="MS Mincho" w:hAnsi="Times New Roman" w:cs="Times New Roman"/>
          <w:color w:val="000000"/>
          <w:lang w:eastAsia="ja-JP"/>
        </w:rPr>
        <w:t>The Operating Reserve Fund will be recorded in the accounting system [determine if the organization’s accounting system has this capability] and financial statements as Board Designated Operating Reserve. The Operating Reserve Fund will be funded and available in cash or cash equivalents. Operating reserves [customize as appropriate: will be maintained in a segregated bank account or investment fund, in accordance with investment policies or will be commingled with the general cash and investment accounts of the organization].</w:t>
      </w:r>
    </w:p>
    <w:p w14:paraId="4BB2CECF" w14:textId="77777777" w:rsidR="00595EC1" w:rsidRPr="00EA19D4" w:rsidRDefault="00595EC1" w:rsidP="00595EC1">
      <w:pPr>
        <w:pStyle w:val="ListParagraph"/>
        <w:spacing w:after="200" w:line="240" w:lineRule="auto"/>
        <w:ind w:left="180"/>
        <w:rPr>
          <w:rFonts w:ascii="Times New Roman" w:eastAsia="MS Mincho" w:hAnsi="Times New Roman" w:cs="Times New Roman"/>
          <w:color w:val="000000"/>
          <w:lang w:eastAsia="ja-JP"/>
        </w:rPr>
      </w:pPr>
    </w:p>
    <w:p w14:paraId="25B4B4BE" w14:textId="77777777" w:rsidR="00EA5D4B" w:rsidRPr="00EA19D4" w:rsidRDefault="00EA5D4B" w:rsidP="00EA5D4B">
      <w:pPr>
        <w:pStyle w:val="ListParagraph"/>
        <w:numPr>
          <w:ilvl w:val="0"/>
          <w:numId w:val="5"/>
        </w:numPr>
        <w:spacing w:after="200" w:line="240" w:lineRule="auto"/>
        <w:rPr>
          <w:rFonts w:ascii="Times New Roman" w:eastAsia="MS Mincho" w:hAnsi="Times New Roman" w:cs="Times New Roman"/>
          <w:color w:val="000000"/>
          <w:lang w:eastAsia="ja-JP"/>
        </w:rPr>
      </w:pPr>
      <w:r w:rsidRPr="00EA19D4">
        <w:rPr>
          <w:rFonts w:ascii="Times New Roman" w:eastAsia="MS Mincho" w:hAnsi="Times New Roman" w:cs="Times New Roman"/>
          <w:color w:val="000000"/>
          <w:lang w:eastAsia="ja-JP"/>
        </w:rPr>
        <w:t xml:space="preserve">FUNDING OF RESERVES </w:t>
      </w:r>
    </w:p>
    <w:p w14:paraId="208692D3" w14:textId="77777777" w:rsidR="00EA5D4B" w:rsidRPr="00EA19D4" w:rsidRDefault="00EA5D4B" w:rsidP="00595EC1">
      <w:pPr>
        <w:pStyle w:val="ListParagraph"/>
        <w:spacing w:after="200" w:line="240" w:lineRule="auto"/>
        <w:ind w:left="180"/>
        <w:rPr>
          <w:rFonts w:ascii="Times New Roman" w:eastAsia="MS Mincho" w:hAnsi="Times New Roman" w:cs="Times New Roman"/>
          <w:color w:val="000000"/>
          <w:lang w:eastAsia="ja-JP"/>
        </w:rPr>
      </w:pPr>
      <w:r w:rsidRPr="00EA19D4">
        <w:rPr>
          <w:rFonts w:ascii="Times New Roman" w:eastAsia="MS Mincho" w:hAnsi="Times New Roman" w:cs="Times New Roman"/>
          <w:color w:val="000000"/>
          <w:lang w:eastAsia="ja-JP"/>
        </w:rPr>
        <w:t>[This section must be customized to reflect the authority and process selected by the organization]</w:t>
      </w:r>
    </w:p>
    <w:p w14:paraId="65BB6C29" w14:textId="77777777" w:rsidR="00595EC1" w:rsidRPr="00EA19D4" w:rsidRDefault="00595EC1" w:rsidP="00595EC1">
      <w:pPr>
        <w:pStyle w:val="ListParagraph"/>
        <w:spacing w:after="200" w:line="240" w:lineRule="auto"/>
        <w:ind w:left="180"/>
        <w:rPr>
          <w:rFonts w:ascii="Times New Roman" w:eastAsia="MS Mincho" w:hAnsi="Times New Roman" w:cs="Times New Roman"/>
          <w:color w:val="000000"/>
          <w:lang w:eastAsia="ja-JP"/>
        </w:rPr>
      </w:pPr>
    </w:p>
    <w:p w14:paraId="623153FC" w14:textId="247F592C" w:rsidR="00EA5D4B" w:rsidRPr="00EA19D4" w:rsidRDefault="00EA5D4B" w:rsidP="00595EC1">
      <w:pPr>
        <w:pStyle w:val="ListParagraph"/>
        <w:spacing w:after="200" w:line="240" w:lineRule="auto"/>
        <w:ind w:left="180"/>
        <w:rPr>
          <w:rFonts w:ascii="Times New Roman" w:eastAsia="MS Mincho" w:hAnsi="Times New Roman" w:cs="Times New Roman"/>
          <w:color w:val="000000"/>
          <w:lang w:eastAsia="ja-JP"/>
        </w:rPr>
      </w:pPr>
      <w:r w:rsidRPr="00EA19D4">
        <w:rPr>
          <w:rFonts w:ascii="Times New Roman" w:eastAsia="MS Mincho" w:hAnsi="Times New Roman" w:cs="Times New Roman"/>
          <w:color w:val="000000"/>
          <w:lang w:eastAsia="ja-JP"/>
        </w:rPr>
        <w:t>The Operating Reserve Fund will be funded with surplus operating funds</w:t>
      </w:r>
      <w:r w:rsidR="001C740F" w:rsidRPr="00EA19D4">
        <w:rPr>
          <w:rFonts w:ascii="Times New Roman" w:eastAsia="MS Mincho" w:hAnsi="Times New Roman" w:cs="Times New Roman"/>
          <w:color w:val="000000"/>
          <w:lang w:eastAsia="ja-JP"/>
        </w:rPr>
        <w:t xml:space="preserve"> without donor restrictions</w:t>
      </w:r>
      <w:r w:rsidRPr="00EA19D4">
        <w:rPr>
          <w:rFonts w:ascii="Times New Roman" w:eastAsia="MS Mincho" w:hAnsi="Times New Roman" w:cs="Times New Roman"/>
          <w:color w:val="000000"/>
          <w:lang w:eastAsia="ja-JP"/>
        </w:rPr>
        <w:t xml:space="preserve">. The </w:t>
      </w:r>
      <w:r w:rsidR="0084448A" w:rsidRPr="00EA19D4">
        <w:rPr>
          <w:rFonts w:ascii="Times New Roman" w:eastAsia="MS Mincho" w:hAnsi="Times New Roman" w:cs="Times New Roman"/>
          <w:color w:val="000000"/>
          <w:lang w:eastAsia="ja-JP"/>
        </w:rPr>
        <w:t xml:space="preserve">governing board </w:t>
      </w:r>
      <w:r w:rsidRPr="00EA19D4">
        <w:rPr>
          <w:rFonts w:ascii="Times New Roman" w:eastAsia="MS Mincho" w:hAnsi="Times New Roman" w:cs="Times New Roman"/>
          <w:color w:val="000000"/>
          <w:lang w:eastAsia="ja-JP"/>
        </w:rPr>
        <w:t xml:space="preserve">may, from time to time, direct that a specific source of revenue be set aside for </w:t>
      </w:r>
      <w:r w:rsidRPr="00EA19D4">
        <w:rPr>
          <w:rFonts w:ascii="Times New Roman" w:eastAsia="MS Mincho" w:hAnsi="Times New Roman" w:cs="Times New Roman"/>
          <w:color w:val="000000"/>
          <w:lang w:eastAsia="ja-JP"/>
        </w:rPr>
        <w:lastRenderedPageBreak/>
        <w:t xml:space="preserve">operating reserves. Examples may include one-time gifts or bequests, </w:t>
      </w:r>
      <w:r w:rsidR="001C740F" w:rsidRPr="00EA19D4">
        <w:rPr>
          <w:rFonts w:ascii="Times New Roman" w:eastAsia="MS Mincho" w:hAnsi="Times New Roman" w:cs="Times New Roman"/>
          <w:color w:val="000000"/>
          <w:lang w:eastAsia="ja-JP"/>
        </w:rPr>
        <w:t xml:space="preserve">property sales, </w:t>
      </w:r>
      <w:r w:rsidRPr="00EA19D4">
        <w:rPr>
          <w:rFonts w:ascii="Times New Roman" w:eastAsia="MS Mincho" w:hAnsi="Times New Roman" w:cs="Times New Roman"/>
          <w:color w:val="000000"/>
          <w:lang w:eastAsia="ja-JP"/>
        </w:rPr>
        <w:t>special grants, or special appeals.</w:t>
      </w:r>
    </w:p>
    <w:p w14:paraId="196FC463" w14:textId="77777777" w:rsidR="00595EC1" w:rsidRPr="00EA19D4" w:rsidRDefault="00595EC1" w:rsidP="00595EC1">
      <w:pPr>
        <w:pStyle w:val="ListParagraph"/>
        <w:spacing w:after="200" w:line="240" w:lineRule="auto"/>
        <w:ind w:left="180"/>
        <w:rPr>
          <w:rFonts w:ascii="Times New Roman" w:eastAsia="MS Mincho" w:hAnsi="Times New Roman" w:cs="Times New Roman"/>
          <w:color w:val="000000"/>
          <w:lang w:eastAsia="ja-JP"/>
        </w:rPr>
      </w:pPr>
    </w:p>
    <w:p w14:paraId="6FCDDBA2" w14:textId="65F82F43" w:rsidR="00EA5D4B" w:rsidRPr="00EA19D4" w:rsidRDefault="00EA5D4B" w:rsidP="00595EC1">
      <w:pPr>
        <w:pStyle w:val="ListParagraph"/>
        <w:spacing w:after="200" w:line="240" w:lineRule="auto"/>
        <w:ind w:left="180"/>
        <w:rPr>
          <w:rFonts w:ascii="Times New Roman" w:eastAsia="MS Mincho" w:hAnsi="Times New Roman" w:cs="Times New Roman"/>
          <w:color w:val="000000"/>
          <w:lang w:eastAsia="ja-JP"/>
        </w:rPr>
      </w:pPr>
      <w:r w:rsidRPr="00EA19D4">
        <w:rPr>
          <w:rFonts w:ascii="Times New Roman" w:eastAsia="MS Mincho" w:hAnsi="Times New Roman" w:cs="Times New Roman"/>
          <w:color w:val="000000"/>
          <w:lang w:eastAsia="ja-JP"/>
        </w:rPr>
        <w:t xml:space="preserve">The </w:t>
      </w:r>
      <w:r w:rsidR="001C740F" w:rsidRPr="00EA19D4">
        <w:rPr>
          <w:rFonts w:ascii="Times New Roman" w:eastAsia="MS Mincho" w:hAnsi="Times New Roman" w:cs="Times New Roman"/>
          <w:color w:val="000000"/>
          <w:lang w:eastAsia="ja-JP"/>
        </w:rPr>
        <w:t>[</w:t>
      </w:r>
      <w:r w:rsidRPr="00EA19D4">
        <w:rPr>
          <w:rFonts w:ascii="Times New Roman" w:eastAsia="MS Mincho" w:hAnsi="Times New Roman" w:cs="Times New Roman"/>
          <w:color w:val="000000"/>
          <w:lang w:eastAsia="ja-JP"/>
        </w:rPr>
        <w:t>Chief Executive Officer and/or Chief Financial Officer</w:t>
      </w:r>
      <w:r w:rsidR="001C740F" w:rsidRPr="00EA19D4">
        <w:rPr>
          <w:rFonts w:ascii="Times New Roman" w:eastAsia="MS Mincho" w:hAnsi="Times New Roman" w:cs="Times New Roman"/>
          <w:color w:val="000000"/>
          <w:lang w:eastAsia="ja-JP"/>
        </w:rPr>
        <w:t>]</w:t>
      </w:r>
      <w:r w:rsidRPr="00EA19D4">
        <w:rPr>
          <w:rFonts w:ascii="Times New Roman" w:eastAsia="MS Mincho" w:hAnsi="Times New Roman" w:cs="Times New Roman"/>
          <w:color w:val="000000"/>
          <w:lang w:eastAsia="ja-JP"/>
        </w:rPr>
        <w:t xml:space="preserve"> will identify the need for access to reserve funds and confirm that the use is consistent with the purpose of the reserves as described in this Operating Reserve Policy. Determination of need requires analysis of the sufficiency of the current level of reserve funds, the availability of any other sources of funds before using reserves, and evaluation of the time period for which the funds will be required and replenished. </w:t>
      </w:r>
    </w:p>
    <w:p w14:paraId="15DBCB50" w14:textId="77777777" w:rsidR="001C740F" w:rsidRPr="00EA19D4" w:rsidRDefault="001C740F" w:rsidP="00595EC1">
      <w:pPr>
        <w:pStyle w:val="ListParagraph"/>
        <w:spacing w:after="200" w:line="240" w:lineRule="auto"/>
        <w:ind w:left="180"/>
        <w:rPr>
          <w:rFonts w:ascii="Times New Roman" w:eastAsia="MS Mincho" w:hAnsi="Times New Roman" w:cs="Times New Roman"/>
          <w:color w:val="000000"/>
          <w:lang w:eastAsia="ja-JP"/>
        </w:rPr>
      </w:pPr>
    </w:p>
    <w:p w14:paraId="476FD59B" w14:textId="77777777" w:rsidR="00EA5D4B" w:rsidRPr="00EA19D4" w:rsidRDefault="00EA5D4B" w:rsidP="00EA5D4B">
      <w:pPr>
        <w:pStyle w:val="ListParagraph"/>
        <w:numPr>
          <w:ilvl w:val="0"/>
          <w:numId w:val="5"/>
        </w:numPr>
        <w:spacing w:after="200" w:line="240" w:lineRule="auto"/>
        <w:rPr>
          <w:rFonts w:ascii="Times New Roman" w:eastAsia="MS Mincho" w:hAnsi="Times New Roman" w:cs="Times New Roman"/>
          <w:color w:val="000000"/>
          <w:lang w:eastAsia="ja-JP"/>
        </w:rPr>
      </w:pPr>
      <w:r w:rsidRPr="00EA19D4">
        <w:rPr>
          <w:rFonts w:ascii="Times New Roman" w:eastAsia="MS Mincho" w:hAnsi="Times New Roman" w:cs="Times New Roman"/>
          <w:color w:val="000000"/>
          <w:lang w:eastAsia="ja-JP"/>
        </w:rPr>
        <w:t>AUTHORITY TO USE OPERATING RESERVES</w:t>
      </w:r>
    </w:p>
    <w:p w14:paraId="2862699C" w14:textId="77777777" w:rsidR="00EA5D4B" w:rsidRPr="00EA19D4" w:rsidRDefault="00EA5D4B" w:rsidP="00595EC1">
      <w:pPr>
        <w:pStyle w:val="ListParagraph"/>
        <w:spacing w:after="200" w:line="240" w:lineRule="auto"/>
        <w:ind w:left="180"/>
        <w:rPr>
          <w:rFonts w:ascii="Times New Roman" w:eastAsia="MS Mincho" w:hAnsi="Times New Roman" w:cs="Times New Roman"/>
          <w:color w:val="000000"/>
          <w:lang w:eastAsia="ja-JP"/>
        </w:rPr>
      </w:pPr>
      <w:r w:rsidRPr="00EA19D4">
        <w:rPr>
          <w:rFonts w:ascii="Times New Roman" w:eastAsia="MS Mincho" w:hAnsi="Times New Roman" w:cs="Times New Roman"/>
          <w:color w:val="000000"/>
          <w:lang w:eastAsia="ja-JP"/>
        </w:rPr>
        <w:t>[This section should be customized when creating the policy to reflect the authority and process selected by the organization.  Three possible approaches are included as examples]</w:t>
      </w:r>
    </w:p>
    <w:p w14:paraId="627A5864" w14:textId="4D1C71F0" w:rsidR="00EA5D4B" w:rsidRPr="00EA19D4" w:rsidRDefault="00EA5D4B" w:rsidP="00595EC1">
      <w:pPr>
        <w:pStyle w:val="ListParagraph"/>
        <w:numPr>
          <w:ilvl w:val="1"/>
          <w:numId w:val="5"/>
        </w:numPr>
        <w:spacing w:after="200" w:line="240" w:lineRule="auto"/>
        <w:rPr>
          <w:rFonts w:ascii="Times New Roman" w:eastAsia="MS Mincho" w:hAnsi="Times New Roman" w:cs="Times New Roman"/>
          <w:color w:val="000000"/>
          <w:lang w:eastAsia="ja-JP"/>
        </w:rPr>
      </w:pPr>
      <w:r w:rsidRPr="00EA19D4">
        <w:rPr>
          <w:rFonts w:ascii="Times New Roman" w:eastAsia="MS Mincho" w:hAnsi="Times New Roman" w:cs="Times New Roman"/>
          <w:color w:val="000000"/>
          <w:lang w:eastAsia="ja-JP"/>
        </w:rPr>
        <w:t xml:space="preserve">Approach A: The Chief Executive Officer will submit a request to use operating reserves to the Finance Committee of the </w:t>
      </w:r>
      <w:r w:rsidR="0084448A" w:rsidRPr="00EA19D4">
        <w:rPr>
          <w:rFonts w:ascii="Times New Roman" w:eastAsia="MS Mincho" w:hAnsi="Times New Roman" w:cs="Times New Roman"/>
          <w:color w:val="000000"/>
          <w:lang w:eastAsia="ja-JP"/>
        </w:rPr>
        <w:t>governing board</w:t>
      </w:r>
      <w:r w:rsidRPr="00EA19D4">
        <w:rPr>
          <w:rFonts w:ascii="Times New Roman" w:eastAsia="MS Mincho" w:hAnsi="Times New Roman" w:cs="Times New Roman"/>
          <w:color w:val="000000"/>
          <w:lang w:eastAsia="ja-JP"/>
        </w:rPr>
        <w:t>. The request will include the analysis and determination of the use of funds and plans for replenishment. The organization’s goal is to replenish the funds used within [add number of months] months to restore the Operating Reserve Fund to the target minimum amount. If the use of operating reserves will take longer than [</w:t>
      </w:r>
      <w:r w:rsidR="00E4431E" w:rsidRPr="00EA19D4">
        <w:rPr>
          <w:rFonts w:ascii="Times New Roman" w:eastAsia="MS Mincho" w:hAnsi="Times New Roman" w:cs="Times New Roman"/>
          <w:color w:val="000000"/>
          <w:lang w:eastAsia="ja-JP"/>
        </w:rPr>
        <w:t xml:space="preserve">indicate </w:t>
      </w:r>
      <w:r w:rsidRPr="00EA19D4">
        <w:rPr>
          <w:rFonts w:ascii="Times New Roman" w:eastAsia="MS Mincho" w:hAnsi="Times New Roman" w:cs="Times New Roman"/>
          <w:color w:val="000000"/>
          <w:lang w:eastAsia="ja-JP"/>
        </w:rPr>
        <w:t xml:space="preserve">number of months] months to replenish, the request will be scrutinized more carefully. The Finance Committee will [either (1) approve or modify the request and authorize transfer from the Operating Reserve Fund or (2) the Finance Committee will recommend the request to the </w:t>
      </w:r>
      <w:r w:rsidR="0084448A" w:rsidRPr="00EA19D4">
        <w:rPr>
          <w:rFonts w:ascii="Times New Roman" w:eastAsia="MS Mincho" w:hAnsi="Times New Roman" w:cs="Times New Roman"/>
          <w:color w:val="000000"/>
          <w:lang w:eastAsia="ja-JP"/>
        </w:rPr>
        <w:t>governing board</w:t>
      </w:r>
      <w:r w:rsidRPr="00EA19D4">
        <w:rPr>
          <w:rFonts w:ascii="Times New Roman" w:eastAsia="MS Mincho" w:hAnsi="Times New Roman" w:cs="Times New Roman"/>
          <w:color w:val="000000"/>
          <w:lang w:eastAsia="ja-JP"/>
        </w:rPr>
        <w:t xml:space="preserve">]. </w:t>
      </w:r>
    </w:p>
    <w:p w14:paraId="0A9DE28D" w14:textId="4D10525A" w:rsidR="00EA5D4B" w:rsidRPr="00EA19D4" w:rsidRDefault="00EA5D4B" w:rsidP="00595EC1">
      <w:pPr>
        <w:pStyle w:val="ListParagraph"/>
        <w:numPr>
          <w:ilvl w:val="1"/>
          <w:numId w:val="5"/>
        </w:numPr>
        <w:spacing w:after="200" w:line="240" w:lineRule="auto"/>
        <w:rPr>
          <w:rFonts w:ascii="Times New Roman" w:eastAsia="MS Mincho" w:hAnsi="Times New Roman" w:cs="Times New Roman"/>
          <w:color w:val="000000"/>
          <w:lang w:eastAsia="ja-JP"/>
        </w:rPr>
      </w:pPr>
      <w:r w:rsidRPr="00EA19D4">
        <w:rPr>
          <w:rFonts w:ascii="Times New Roman" w:eastAsia="MS Mincho" w:hAnsi="Times New Roman" w:cs="Times New Roman"/>
          <w:color w:val="000000"/>
          <w:lang w:eastAsia="ja-JP"/>
        </w:rPr>
        <w:t xml:space="preserve">Approach B: Authority for the use of operating reserves is delegated to the Chief Executive Officer and/or Chief Financial Officer in consultation with the Treasurer and/or Chair of the Finance Committee. The use of operating reserves will be reported to the </w:t>
      </w:r>
      <w:r w:rsidR="004C51DE" w:rsidRPr="00EA19D4">
        <w:rPr>
          <w:rFonts w:ascii="Times New Roman" w:eastAsia="MS Mincho" w:hAnsi="Times New Roman" w:cs="Times New Roman"/>
          <w:color w:val="000000"/>
          <w:lang w:eastAsia="ja-JP"/>
        </w:rPr>
        <w:t>governing board</w:t>
      </w:r>
      <w:r w:rsidRPr="00EA19D4">
        <w:rPr>
          <w:rFonts w:ascii="Times New Roman" w:eastAsia="MS Mincho" w:hAnsi="Times New Roman" w:cs="Times New Roman"/>
          <w:color w:val="000000"/>
          <w:lang w:eastAsia="ja-JP"/>
        </w:rPr>
        <w:t xml:space="preserve"> at their next scheduled meeting, accompanied by a description of the analysis and determination of the use of funds, and plans for replenishment to restore the Operating Reserve Fund to the target minimum amount. The Chief Executive Officer must receive prior approval from the </w:t>
      </w:r>
      <w:r w:rsidR="004C51DE" w:rsidRPr="00EA19D4">
        <w:rPr>
          <w:rFonts w:ascii="Times New Roman" w:eastAsia="MS Mincho" w:hAnsi="Times New Roman" w:cs="Times New Roman"/>
          <w:color w:val="000000"/>
          <w:lang w:eastAsia="ja-JP"/>
        </w:rPr>
        <w:t>governing board</w:t>
      </w:r>
      <w:r w:rsidRPr="00EA19D4">
        <w:rPr>
          <w:rFonts w:ascii="Times New Roman" w:eastAsia="MS Mincho" w:hAnsi="Times New Roman" w:cs="Times New Roman"/>
          <w:color w:val="000000"/>
          <w:lang w:eastAsia="ja-JP"/>
        </w:rPr>
        <w:t xml:space="preserve"> if the operating reserves will take longer than [</w:t>
      </w:r>
      <w:r w:rsidR="00E4431E" w:rsidRPr="00EA19D4">
        <w:rPr>
          <w:rFonts w:ascii="Times New Roman" w:eastAsia="MS Mincho" w:hAnsi="Times New Roman" w:cs="Times New Roman"/>
          <w:color w:val="000000"/>
          <w:lang w:eastAsia="ja-JP"/>
        </w:rPr>
        <w:t xml:space="preserve">indicate </w:t>
      </w:r>
      <w:r w:rsidRPr="00EA19D4">
        <w:rPr>
          <w:rFonts w:ascii="Times New Roman" w:eastAsia="MS Mincho" w:hAnsi="Times New Roman" w:cs="Times New Roman"/>
          <w:color w:val="000000"/>
          <w:lang w:eastAsia="ja-JP"/>
        </w:rPr>
        <w:t>number of months] months to replenish.</w:t>
      </w:r>
    </w:p>
    <w:p w14:paraId="6608F61D" w14:textId="1C51D118" w:rsidR="00EA5D4B" w:rsidRPr="00EA19D4" w:rsidRDefault="00EA5D4B" w:rsidP="00595EC1">
      <w:pPr>
        <w:pStyle w:val="ListParagraph"/>
        <w:numPr>
          <w:ilvl w:val="1"/>
          <w:numId w:val="5"/>
        </w:numPr>
        <w:spacing w:after="200" w:line="240" w:lineRule="auto"/>
        <w:rPr>
          <w:rFonts w:ascii="Times New Roman" w:eastAsia="MS Mincho" w:hAnsi="Times New Roman" w:cs="Times New Roman"/>
          <w:color w:val="000000"/>
          <w:lang w:eastAsia="ja-JP"/>
        </w:rPr>
      </w:pPr>
      <w:r w:rsidRPr="00EA19D4">
        <w:rPr>
          <w:rFonts w:ascii="Times New Roman" w:eastAsia="MS Mincho" w:hAnsi="Times New Roman" w:cs="Times New Roman"/>
          <w:color w:val="000000"/>
          <w:lang w:eastAsia="ja-JP"/>
        </w:rPr>
        <w:t>Approach C: Authority for use of up to [$</w:t>
      </w:r>
      <w:proofErr w:type="spellStart"/>
      <w:r w:rsidRPr="00EA19D4">
        <w:rPr>
          <w:rFonts w:ascii="Times New Roman" w:eastAsia="MS Mincho" w:hAnsi="Times New Roman" w:cs="Times New Roman"/>
          <w:color w:val="000000"/>
          <w:lang w:eastAsia="ja-JP"/>
        </w:rPr>
        <w:t>xx,xxx</w:t>
      </w:r>
      <w:proofErr w:type="spellEnd"/>
      <w:r w:rsidRPr="00EA19D4">
        <w:rPr>
          <w:rFonts w:ascii="Times New Roman" w:eastAsia="MS Mincho" w:hAnsi="Times New Roman" w:cs="Times New Roman"/>
          <w:color w:val="000000"/>
          <w:lang w:eastAsia="ja-JP"/>
        </w:rPr>
        <w:t xml:space="preserve">] of operating  reserves is delegated  to the Chief Executive Officer and/or Chief Financial Officer in consultation with the Treasurer and/or Chair of the Finance Committee.  The use of operating reserves will be reported to the </w:t>
      </w:r>
      <w:r w:rsidR="004C51DE" w:rsidRPr="00EA19D4">
        <w:rPr>
          <w:rFonts w:ascii="Times New Roman" w:eastAsia="MS Mincho" w:hAnsi="Times New Roman" w:cs="Times New Roman"/>
          <w:color w:val="000000"/>
          <w:lang w:eastAsia="ja-JP"/>
        </w:rPr>
        <w:t>governing board</w:t>
      </w:r>
      <w:r w:rsidRPr="00EA19D4">
        <w:rPr>
          <w:rFonts w:ascii="Times New Roman" w:eastAsia="MS Mincho" w:hAnsi="Times New Roman" w:cs="Times New Roman"/>
          <w:color w:val="000000"/>
          <w:lang w:eastAsia="ja-JP"/>
        </w:rPr>
        <w:t xml:space="preserve"> at their next scheduled meeting, accompanied by a description of the analysis and determination of the use of funds, and plans for replenishment to restore the Operating Reserve Fund to the target minimum amount. The Chief Executive Officer and/or Chief Financial Officer must receive prior approval from the </w:t>
      </w:r>
      <w:r w:rsidR="004C51DE" w:rsidRPr="00EA19D4">
        <w:rPr>
          <w:rFonts w:ascii="Times New Roman" w:eastAsia="MS Mincho" w:hAnsi="Times New Roman" w:cs="Times New Roman"/>
          <w:color w:val="000000"/>
          <w:lang w:eastAsia="ja-JP"/>
        </w:rPr>
        <w:t>governing board</w:t>
      </w:r>
      <w:r w:rsidRPr="00EA19D4">
        <w:rPr>
          <w:rFonts w:ascii="Times New Roman" w:eastAsia="MS Mincho" w:hAnsi="Times New Roman" w:cs="Times New Roman"/>
          <w:color w:val="000000"/>
          <w:lang w:eastAsia="ja-JP"/>
        </w:rPr>
        <w:t xml:space="preserve"> for use of operating reserves in excess of [$</w:t>
      </w:r>
      <w:proofErr w:type="spellStart"/>
      <w:r w:rsidRPr="00EA19D4">
        <w:rPr>
          <w:rFonts w:ascii="Times New Roman" w:eastAsia="MS Mincho" w:hAnsi="Times New Roman" w:cs="Times New Roman"/>
          <w:color w:val="000000"/>
          <w:lang w:eastAsia="ja-JP"/>
        </w:rPr>
        <w:t>xx,xxx</w:t>
      </w:r>
      <w:proofErr w:type="spellEnd"/>
      <w:r w:rsidRPr="00EA19D4">
        <w:rPr>
          <w:rFonts w:ascii="Times New Roman" w:eastAsia="MS Mincho" w:hAnsi="Times New Roman" w:cs="Times New Roman"/>
          <w:color w:val="000000"/>
          <w:lang w:eastAsia="ja-JP"/>
        </w:rPr>
        <w:t>].</w:t>
      </w:r>
    </w:p>
    <w:p w14:paraId="44265A9E" w14:textId="77777777" w:rsidR="00E350C0" w:rsidRPr="00EA19D4" w:rsidRDefault="00E350C0" w:rsidP="00E350C0">
      <w:pPr>
        <w:pStyle w:val="ListParagraph"/>
        <w:spacing w:after="200" w:line="240" w:lineRule="auto"/>
        <w:ind w:left="900"/>
        <w:rPr>
          <w:rFonts w:ascii="Times New Roman" w:eastAsia="MS Mincho" w:hAnsi="Times New Roman" w:cs="Times New Roman"/>
          <w:color w:val="000000"/>
          <w:lang w:eastAsia="ja-JP"/>
        </w:rPr>
      </w:pPr>
    </w:p>
    <w:p w14:paraId="00D6ADE6" w14:textId="77777777" w:rsidR="00EA5D4B" w:rsidRPr="00EA19D4" w:rsidRDefault="00EA5D4B" w:rsidP="00EA5D4B">
      <w:pPr>
        <w:pStyle w:val="ListParagraph"/>
        <w:numPr>
          <w:ilvl w:val="0"/>
          <w:numId w:val="5"/>
        </w:numPr>
        <w:spacing w:after="200" w:line="240" w:lineRule="auto"/>
        <w:rPr>
          <w:rFonts w:ascii="Times New Roman" w:eastAsia="MS Mincho" w:hAnsi="Times New Roman" w:cs="Times New Roman"/>
          <w:color w:val="000000"/>
          <w:lang w:eastAsia="ja-JP"/>
        </w:rPr>
      </w:pPr>
      <w:r w:rsidRPr="00EA19D4">
        <w:rPr>
          <w:rFonts w:ascii="Times New Roman" w:eastAsia="MS Mincho" w:hAnsi="Times New Roman" w:cs="Times New Roman"/>
          <w:color w:val="000000"/>
          <w:lang w:eastAsia="ja-JP"/>
        </w:rPr>
        <w:t xml:space="preserve">REPORTING AND MONITORING </w:t>
      </w:r>
    </w:p>
    <w:p w14:paraId="46DA1198" w14:textId="77777777" w:rsidR="00EA5D4B" w:rsidRPr="00EA19D4" w:rsidRDefault="00EA5D4B" w:rsidP="00595EC1">
      <w:pPr>
        <w:pStyle w:val="ListParagraph"/>
        <w:spacing w:after="200" w:line="240" w:lineRule="auto"/>
        <w:ind w:left="180"/>
        <w:rPr>
          <w:rFonts w:ascii="Times New Roman" w:eastAsia="MS Mincho" w:hAnsi="Times New Roman" w:cs="Times New Roman"/>
          <w:color w:val="000000"/>
          <w:lang w:eastAsia="ja-JP"/>
        </w:rPr>
      </w:pPr>
      <w:r w:rsidRPr="00EA19D4">
        <w:rPr>
          <w:rFonts w:ascii="Times New Roman" w:eastAsia="MS Mincho" w:hAnsi="Times New Roman" w:cs="Times New Roman"/>
          <w:color w:val="000000"/>
          <w:lang w:eastAsia="ja-JP"/>
        </w:rPr>
        <w:t xml:space="preserve">[This section should be customized to reflect the authority and process selected by the organization]  </w:t>
      </w:r>
    </w:p>
    <w:p w14:paraId="36E1C12C" w14:textId="77777777" w:rsidR="00595EC1" w:rsidRPr="00EA19D4" w:rsidRDefault="00595EC1" w:rsidP="00595EC1">
      <w:pPr>
        <w:pStyle w:val="ListParagraph"/>
        <w:spacing w:after="200" w:line="240" w:lineRule="auto"/>
        <w:ind w:left="180"/>
        <w:rPr>
          <w:rFonts w:ascii="Times New Roman" w:eastAsia="MS Mincho" w:hAnsi="Times New Roman" w:cs="Times New Roman"/>
          <w:color w:val="000000"/>
          <w:lang w:eastAsia="ja-JP"/>
        </w:rPr>
      </w:pPr>
    </w:p>
    <w:p w14:paraId="0DBC88D5" w14:textId="09CF4B55" w:rsidR="00EA5D4B" w:rsidRPr="00EA19D4" w:rsidRDefault="00EA5D4B" w:rsidP="00595EC1">
      <w:pPr>
        <w:pStyle w:val="ListParagraph"/>
        <w:spacing w:after="200" w:line="240" w:lineRule="auto"/>
        <w:ind w:left="180"/>
        <w:rPr>
          <w:rFonts w:ascii="Times New Roman" w:eastAsia="MS Mincho" w:hAnsi="Times New Roman" w:cs="Times New Roman"/>
          <w:color w:val="000000"/>
          <w:lang w:eastAsia="ja-JP"/>
        </w:rPr>
      </w:pPr>
      <w:r w:rsidRPr="00EA19D4">
        <w:rPr>
          <w:rFonts w:ascii="Times New Roman" w:eastAsia="MS Mincho" w:hAnsi="Times New Roman" w:cs="Times New Roman"/>
          <w:color w:val="000000"/>
          <w:lang w:eastAsia="ja-JP"/>
        </w:rPr>
        <w:t xml:space="preserve">The Chief Executive Officer and/or Chief Financial Officer is responsible for ensuring that the Operating Reserve Fund is maintained and used only as described in this Policy. [Discuss the impact of market declines on maintaining operating reserves and determine if additional policy language is needed] Upon approval of the use of operating reserve funds, the Chief Executive Officer and/or Chief Financial Officer will maintain records of the use of funds and plan for replenishment. She/he will </w:t>
      </w:r>
      <w:r w:rsidRPr="00EA19D4">
        <w:rPr>
          <w:rFonts w:ascii="Times New Roman" w:eastAsia="MS Mincho" w:hAnsi="Times New Roman" w:cs="Times New Roman"/>
          <w:color w:val="000000"/>
          <w:lang w:eastAsia="ja-JP"/>
        </w:rPr>
        <w:lastRenderedPageBreak/>
        <w:t xml:space="preserve">provide regular reports [define frequency] to the Finance Committee and/or </w:t>
      </w:r>
      <w:r w:rsidR="004C51DE" w:rsidRPr="00EA19D4">
        <w:rPr>
          <w:rFonts w:ascii="Times New Roman" w:eastAsia="MS Mincho" w:hAnsi="Times New Roman" w:cs="Times New Roman"/>
          <w:color w:val="000000"/>
          <w:lang w:eastAsia="ja-JP"/>
        </w:rPr>
        <w:t>governing board</w:t>
      </w:r>
      <w:r w:rsidRPr="00EA19D4">
        <w:rPr>
          <w:rFonts w:ascii="Times New Roman" w:eastAsia="MS Mincho" w:hAnsi="Times New Roman" w:cs="Times New Roman"/>
          <w:color w:val="000000"/>
          <w:lang w:eastAsia="ja-JP"/>
        </w:rPr>
        <w:t xml:space="preserve"> of progress to restore the fund to the target minimum amount.</w:t>
      </w:r>
    </w:p>
    <w:p w14:paraId="14DA10AC" w14:textId="77777777" w:rsidR="00595EC1" w:rsidRPr="00EA19D4" w:rsidRDefault="00595EC1" w:rsidP="00595EC1">
      <w:pPr>
        <w:pStyle w:val="ListParagraph"/>
        <w:spacing w:after="200" w:line="240" w:lineRule="auto"/>
        <w:ind w:left="180"/>
        <w:rPr>
          <w:rFonts w:ascii="Times New Roman" w:eastAsia="MS Mincho" w:hAnsi="Times New Roman" w:cs="Times New Roman"/>
          <w:color w:val="000000"/>
          <w:lang w:eastAsia="ja-JP"/>
        </w:rPr>
      </w:pPr>
    </w:p>
    <w:p w14:paraId="0CBE604B" w14:textId="77777777" w:rsidR="00EA5D4B" w:rsidRPr="00EA19D4" w:rsidRDefault="00EA5D4B" w:rsidP="00595EC1">
      <w:pPr>
        <w:pStyle w:val="ListParagraph"/>
        <w:spacing w:after="200" w:line="240" w:lineRule="auto"/>
        <w:ind w:left="180"/>
        <w:rPr>
          <w:rFonts w:ascii="Times New Roman" w:eastAsia="MS Mincho" w:hAnsi="Times New Roman" w:cs="Times New Roman"/>
          <w:color w:val="000000"/>
          <w:lang w:eastAsia="ja-JP"/>
        </w:rPr>
      </w:pPr>
      <w:r w:rsidRPr="00EA19D4">
        <w:rPr>
          <w:rFonts w:ascii="Times New Roman" w:eastAsia="MS Mincho" w:hAnsi="Times New Roman" w:cs="Times New Roman"/>
          <w:color w:val="000000"/>
          <w:lang w:eastAsia="ja-JP"/>
        </w:rPr>
        <w:t xml:space="preserve">The Chief Executive Officer and/or Chief Financial Officer will annually discuss what additional risk factors might be considered for the organization, the impact of budgeting on operating reserve levels, and any requirements with funders or chartering organizations. </w:t>
      </w:r>
    </w:p>
    <w:p w14:paraId="7E80CD7F" w14:textId="77777777" w:rsidR="00595EC1" w:rsidRPr="00EA19D4" w:rsidRDefault="00595EC1" w:rsidP="00595EC1">
      <w:pPr>
        <w:pStyle w:val="ListParagraph"/>
        <w:spacing w:after="200" w:line="240" w:lineRule="auto"/>
        <w:ind w:left="180"/>
        <w:rPr>
          <w:rFonts w:ascii="Times New Roman" w:eastAsia="MS Mincho" w:hAnsi="Times New Roman" w:cs="Times New Roman"/>
          <w:color w:val="000000"/>
          <w:lang w:eastAsia="ja-JP"/>
        </w:rPr>
      </w:pPr>
    </w:p>
    <w:p w14:paraId="2E588071" w14:textId="77777777" w:rsidR="00EA5D4B" w:rsidRPr="00EA19D4" w:rsidRDefault="00EA5D4B" w:rsidP="00EA5D4B">
      <w:pPr>
        <w:pStyle w:val="ListParagraph"/>
        <w:numPr>
          <w:ilvl w:val="0"/>
          <w:numId w:val="5"/>
        </w:numPr>
        <w:spacing w:after="200" w:line="240" w:lineRule="auto"/>
        <w:rPr>
          <w:rFonts w:ascii="Times New Roman" w:eastAsia="MS Mincho" w:hAnsi="Times New Roman" w:cs="Times New Roman"/>
          <w:color w:val="000000"/>
          <w:lang w:eastAsia="ja-JP"/>
        </w:rPr>
      </w:pPr>
      <w:r w:rsidRPr="00EA19D4">
        <w:rPr>
          <w:rFonts w:ascii="Times New Roman" w:eastAsia="MS Mincho" w:hAnsi="Times New Roman" w:cs="Times New Roman"/>
          <w:color w:val="000000"/>
          <w:lang w:eastAsia="ja-JP"/>
        </w:rPr>
        <w:t>RELATIONSHIP TO OTHER POLICIES</w:t>
      </w:r>
    </w:p>
    <w:p w14:paraId="144439E8" w14:textId="7089A589" w:rsidR="00EA5D4B" w:rsidRPr="00EA19D4" w:rsidRDefault="00EA5D4B" w:rsidP="00595EC1">
      <w:pPr>
        <w:pStyle w:val="ListParagraph"/>
        <w:spacing w:after="200" w:line="240" w:lineRule="auto"/>
        <w:ind w:left="180"/>
        <w:rPr>
          <w:rFonts w:ascii="Times New Roman" w:eastAsia="MS Mincho" w:hAnsi="Times New Roman" w:cs="Times New Roman"/>
          <w:color w:val="000000"/>
          <w:lang w:eastAsia="ja-JP"/>
        </w:rPr>
      </w:pPr>
      <w:r w:rsidRPr="00EA19D4">
        <w:rPr>
          <w:rFonts w:ascii="Times New Roman" w:eastAsia="MS Mincho" w:hAnsi="Times New Roman" w:cs="Times New Roman"/>
          <w:color w:val="000000"/>
          <w:lang w:eastAsia="ja-JP"/>
        </w:rPr>
        <w:t>The Chief Executive Officer and/or Chief Financial Officer shall maintain the following board-approved policies, which may contain provisions that affect the creation, sufficiency, and management of the Operating Reserve Fund</w:t>
      </w:r>
      <w:r w:rsidR="00E4431E" w:rsidRPr="00EA19D4">
        <w:rPr>
          <w:rFonts w:ascii="Times New Roman" w:eastAsia="MS Mincho" w:hAnsi="Times New Roman" w:cs="Times New Roman"/>
          <w:color w:val="000000"/>
          <w:lang w:eastAsia="ja-JP"/>
        </w:rPr>
        <w:t xml:space="preserve"> [identify policies required by the organization such as the following]</w:t>
      </w:r>
      <w:r w:rsidRPr="00EA19D4">
        <w:rPr>
          <w:rFonts w:ascii="Times New Roman" w:eastAsia="MS Mincho" w:hAnsi="Times New Roman" w:cs="Times New Roman"/>
          <w:color w:val="000000"/>
          <w:lang w:eastAsia="ja-JP"/>
        </w:rPr>
        <w:t>:</w:t>
      </w:r>
    </w:p>
    <w:p w14:paraId="186E3E5E" w14:textId="77777777" w:rsidR="00EA5D4B" w:rsidRPr="00EA19D4" w:rsidRDefault="00EA5D4B" w:rsidP="00595EC1">
      <w:pPr>
        <w:pStyle w:val="ListParagraph"/>
        <w:numPr>
          <w:ilvl w:val="1"/>
          <w:numId w:val="6"/>
        </w:numPr>
        <w:spacing w:after="200" w:line="240" w:lineRule="auto"/>
        <w:rPr>
          <w:rFonts w:ascii="Times New Roman" w:eastAsia="MS Mincho" w:hAnsi="Times New Roman" w:cs="Times New Roman"/>
          <w:color w:val="000000"/>
          <w:lang w:eastAsia="ja-JP"/>
        </w:rPr>
      </w:pPr>
      <w:r w:rsidRPr="00EA19D4">
        <w:rPr>
          <w:rFonts w:ascii="Times New Roman" w:eastAsia="MS Mincho" w:hAnsi="Times New Roman" w:cs="Times New Roman"/>
          <w:color w:val="000000"/>
          <w:lang w:eastAsia="ja-JP"/>
        </w:rPr>
        <w:t>Investment Policy, including risk tolerance</w:t>
      </w:r>
    </w:p>
    <w:p w14:paraId="585B61C1" w14:textId="77777777" w:rsidR="00EA5D4B" w:rsidRPr="00EA19D4" w:rsidRDefault="00EA5D4B" w:rsidP="00595EC1">
      <w:pPr>
        <w:pStyle w:val="ListParagraph"/>
        <w:numPr>
          <w:ilvl w:val="1"/>
          <w:numId w:val="6"/>
        </w:numPr>
        <w:spacing w:after="200" w:line="240" w:lineRule="auto"/>
        <w:rPr>
          <w:rFonts w:ascii="Times New Roman" w:eastAsia="MS Mincho" w:hAnsi="Times New Roman" w:cs="Times New Roman"/>
          <w:color w:val="000000"/>
          <w:lang w:eastAsia="ja-JP"/>
        </w:rPr>
      </w:pPr>
      <w:r w:rsidRPr="00EA19D4">
        <w:rPr>
          <w:rFonts w:ascii="Times New Roman" w:eastAsia="MS Mincho" w:hAnsi="Times New Roman" w:cs="Times New Roman"/>
          <w:color w:val="000000"/>
          <w:lang w:eastAsia="ja-JP"/>
        </w:rPr>
        <w:t>Risk Management related policies and tools to diminish risk, including Contingency or Disaster Preparedness Plan</w:t>
      </w:r>
    </w:p>
    <w:p w14:paraId="44C21F80" w14:textId="77777777" w:rsidR="00EA5D4B" w:rsidRPr="00EA19D4" w:rsidRDefault="00EA5D4B" w:rsidP="00595EC1">
      <w:pPr>
        <w:pStyle w:val="ListParagraph"/>
        <w:numPr>
          <w:ilvl w:val="1"/>
          <w:numId w:val="6"/>
        </w:numPr>
        <w:spacing w:after="200" w:line="240" w:lineRule="auto"/>
        <w:rPr>
          <w:rFonts w:ascii="Times New Roman" w:eastAsia="MS Mincho" w:hAnsi="Times New Roman" w:cs="Times New Roman"/>
          <w:color w:val="000000"/>
          <w:lang w:eastAsia="ja-JP"/>
        </w:rPr>
      </w:pPr>
      <w:r w:rsidRPr="00EA19D4">
        <w:rPr>
          <w:rFonts w:ascii="Times New Roman" w:eastAsia="MS Mincho" w:hAnsi="Times New Roman" w:cs="Times New Roman"/>
          <w:color w:val="000000"/>
          <w:lang w:eastAsia="ja-JP"/>
        </w:rPr>
        <w:t>Policies related to Operating and Capital Budgeting</w:t>
      </w:r>
    </w:p>
    <w:p w14:paraId="663F4B0A" w14:textId="77777777" w:rsidR="00EA5D4B" w:rsidRPr="00EA19D4" w:rsidRDefault="00EA5D4B" w:rsidP="00595EC1">
      <w:pPr>
        <w:pStyle w:val="ListParagraph"/>
        <w:numPr>
          <w:ilvl w:val="1"/>
          <w:numId w:val="6"/>
        </w:numPr>
        <w:spacing w:after="200" w:line="240" w:lineRule="auto"/>
        <w:rPr>
          <w:rFonts w:ascii="Times New Roman" w:eastAsia="MS Mincho" w:hAnsi="Times New Roman" w:cs="Times New Roman"/>
          <w:color w:val="000000"/>
          <w:lang w:eastAsia="ja-JP"/>
        </w:rPr>
      </w:pPr>
      <w:r w:rsidRPr="00EA19D4">
        <w:rPr>
          <w:rFonts w:ascii="Times New Roman" w:eastAsia="MS Mincho" w:hAnsi="Times New Roman" w:cs="Times New Roman"/>
          <w:color w:val="000000"/>
          <w:lang w:eastAsia="ja-JP"/>
        </w:rPr>
        <w:t>Fund Development Policies</w:t>
      </w:r>
    </w:p>
    <w:p w14:paraId="252E9ACC" w14:textId="77777777" w:rsidR="00595EC1" w:rsidRPr="00EA19D4" w:rsidRDefault="00595EC1" w:rsidP="004C51DE">
      <w:pPr>
        <w:pStyle w:val="ListParagraph"/>
        <w:spacing w:after="200" w:line="240" w:lineRule="auto"/>
        <w:ind w:left="900"/>
        <w:rPr>
          <w:rFonts w:ascii="Times New Roman" w:eastAsia="MS Mincho" w:hAnsi="Times New Roman" w:cs="Times New Roman"/>
          <w:color w:val="000000"/>
          <w:lang w:eastAsia="ja-JP"/>
        </w:rPr>
      </w:pPr>
    </w:p>
    <w:p w14:paraId="07F547A0" w14:textId="77777777" w:rsidR="00EA5D4B" w:rsidRPr="00EA19D4" w:rsidRDefault="00EA5D4B" w:rsidP="00EA5D4B">
      <w:pPr>
        <w:pStyle w:val="ListParagraph"/>
        <w:numPr>
          <w:ilvl w:val="0"/>
          <w:numId w:val="5"/>
        </w:numPr>
        <w:spacing w:after="200" w:line="240" w:lineRule="auto"/>
        <w:rPr>
          <w:rFonts w:ascii="Times New Roman" w:eastAsia="MS Mincho" w:hAnsi="Times New Roman" w:cs="Times New Roman"/>
          <w:color w:val="000000"/>
          <w:lang w:eastAsia="ja-JP"/>
        </w:rPr>
      </w:pPr>
      <w:r w:rsidRPr="00EA19D4">
        <w:rPr>
          <w:rFonts w:ascii="Times New Roman" w:eastAsia="MS Mincho" w:hAnsi="Times New Roman" w:cs="Times New Roman"/>
          <w:color w:val="000000"/>
          <w:lang w:eastAsia="ja-JP"/>
        </w:rPr>
        <w:t>REVIEW OF POLICY</w:t>
      </w:r>
    </w:p>
    <w:p w14:paraId="352D7440" w14:textId="06423ABA" w:rsidR="00450CBC" w:rsidRPr="00EA19D4" w:rsidRDefault="00EA5D4B" w:rsidP="00E20A0F">
      <w:pPr>
        <w:pStyle w:val="ListParagraph"/>
        <w:spacing w:after="200" w:line="240" w:lineRule="auto"/>
        <w:ind w:left="180"/>
      </w:pPr>
      <w:r w:rsidRPr="00EA19D4">
        <w:rPr>
          <w:rFonts w:ascii="Times New Roman" w:eastAsia="MS Mincho" w:hAnsi="Times New Roman" w:cs="Times New Roman"/>
          <w:color w:val="000000"/>
          <w:lang w:eastAsia="ja-JP"/>
        </w:rPr>
        <w:t xml:space="preserve">This Policy will be reviewed by the Finance Committee every [time period] at minimum, or sooner if warranted by internal or external events or changes. Changes to the Policy will be recommended by the Finance Committee to the </w:t>
      </w:r>
      <w:r w:rsidR="004C51DE" w:rsidRPr="00EA19D4">
        <w:rPr>
          <w:rFonts w:ascii="Times New Roman" w:eastAsia="MS Mincho" w:hAnsi="Times New Roman" w:cs="Times New Roman"/>
          <w:color w:val="000000"/>
          <w:lang w:eastAsia="ja-JP"/>
        </w:rPr>
        <w:t>governing board</w:t>
      </w:r>
      <w:r w:rsidR="00E350C0" w:rsidRPr="00EA19D4">
        <w:rPr>
          <w:rFonts w:ascii="Times New Roman" w:eastAsia="MS Mincho" w:hAnsi="Times New Roman" w:cs="Times New Roman"/>
          <w:color w:val="000000"/>
          <w:lang w:eastAsia="ja-JP"/>
        </w:rPr>
        <w:t xml:space="preserve"> for approval</w:t>
      </w:r>
      <w:r w:rsidRPr="00EA19D4">
        <w:rPr>
          <w:rFonts w:ascii="Times New Roman" w:eastAsia="MS Mincho" w:hAnsi="Times New Roman" w:cs="Times New Roman"/>
          <w:color w:val="000000"/>
          <w:lang w:eastAsia="ja-JP"/>
        </w:rPr>
        <w:t>. This policy, upon every revision hereof, must be distributed by the [insert body of designated supervision] to the following individuals/entities: [list all officers, staff, and advisors that might need a copy].</w:t>
      </w:r>
      <w:r w:rsidR="00925EF9" w:rsidRPr="00EA19D4">
        <w:rPr>
          <w:rFonts w:ascii="Times New Roman" w:eastAsia="MS Mincho" w:hAnsi="Times New Roman" w:cs="Times New Roman"/>
          <w:color w:val="000000"/>
          <w:lang w:eastAsia="ja-JP"/>
        </w:rPr>
        <w:t xml:space="preserve">The Finance Committee (the Committee) is established by [insert organization’s name] </w:t>
      </w:r>
      <w:r w:rsidR="004C51DE" w:rsidRPr="00EA19D4">
        <w:rPr>
          <w:rFonts w:ascii="Times New Roman" w:eastAsia="MS Mincho" w:hAnsi="Times New Roman" w:cs="Times New Roman"/>
          <w:color w:val="000000"/>
          <w:lang w:eastAsia="ja-JP"/>
        </w:rPr>
        <w:t>governing board</w:t>
      </w:r>
      <w:r w:rsidR="00925EF9" w:rsidRPr="00EA19D4">
        <w:rPr>
          <w:rFonts w:ascii="Times New Roman" w:eastAsia="MS Mincho" w:hAnsi="Times New Roman" w:cs="Times New Roman"/>
          <w:color w:val="000000"/>
          <w:lang w:eastAsia="ja-JP"/>
        </w:rPr>
        <w:t xml:space="preserve"> to recommend financial policies, strategies, and budgets that support the mission, values and strategic plan of the organization. Its purpose is to ensure the financial health and integrity of the organization in pursuit of its mission to [insert organization’s mission statement].</w:t>
      </w:r>
    </w:p>
    <w:sectPr w:rsidR="00450CBC" w:rsidRPr="00EA19D4" w:rsidSect="00E20A0F">
      <w:headerReference w:type="default" r:id="rId10"/>
      <w:footerReference w:type="default" r:id="rId11"/>
      <w:headerReference w:type="first" r:id="rId12"/>
      <w:pgSz w:w="12240" w:h="15840"/>
      <w:pgMar w:top="261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FC624" w14:textId="77777777" w:rsidR="00AF6969" w:rsidRDefault="00AF6969" w:rsidP="006F36CA">
      <w:pPr>
        <w:spacing w:after="0" w:line="240" w:lineRule="auto"/>
      </w:pPr>
      <w:r>
        <w:separator/>
      </w:r>
    </w:p>
  </w:endnote>
  <w:endnote w:type="continuationSeparator" w:id="0">
    <w:p w14:paraId="2EC08487" w14:textId="77777777" w:rsidR="00AF6969" w:rsidRDefault="00AF6969" w:rsidP="006F3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venir-Heavy">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venirLTCom-Heavy">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BoldMT">
    <w:altName w:val="Arial"/>
    <w:charset w:val="00"/>
    <w:family w:val="auto"/>
    <w:pitch w:val="variable"/>
    <w:sig w:usb0="0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5E66B" w14:textId="710F3EDF" w:rsidR="006F36CA" w:rsidRDefault="00181FCB">
    <w:pPr>
      <w:pStyle w:val="Footer"/>
    </w:pPr>
    <w:r w:rsidRPr="00181FCB">
      <w:t>© 201</w:t>
    </w:r>
    <w:r w:rsidR="00E350C0">
      <w:t>9</w:t>
    </w:r>
    <w:r w:rsidRPr="00181FCB">
      <w:t>, Association of International Certified Professional Accountants. All rights reserved.</w:t>
    </w:r>
    <w:r w:rsidR="006F36CA">
      <w:rPr>
        <w:noProof/>
      </w:rPr>
      <w:drawing>
        <wp:anchor distT="0" distB="0" distL="114300" distR="114300" simplePos="0" relativeHeight="251660288" behindDoc="0" locked="0" layoutInCell="1" allowOverlap="1" wp14:anchorId="5C792D36" wp14:editId="0709AD41">
          <wp:simplePos x="0" y="0"/>
          <wp:positionH relativeFrom="column">
            <wp:posOffset>635</wp:posOffset>
          </wp:positionH>
          <wp:positionV relativeFrom="paragraph">
            <wp:posOffset>4469765</wp:posOffset>
          </wp:positionV>
          <wp:extent cx="7772400" cy="1127760"/>
          <wp:effectExtent l="0" t="0" r="0" b="0"/>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127760"/>
                  </a:xfrm>
                  <a:prstGeom prst="rect">
                    <a:avLst/>
                  </a:prstGeom>
                  <a:noFill/>
                  <a:ln>
                    <a:noFill/>
                  </a:ln>
                </pic:spPr>
              </pic:pic>
            </a:graphicData>
          </a:graphic>
          <wp14:sizeRelH relativeFrom="page">
            <wp14:pctWidth>0</wp14:pctWidth>
          </wp14:sizeRelH>
          <wp14:sizeRelV relativeFrom="page">
            <wp14:pctHeight>0</wp14:pctHeight>
          </wp14:sizeRelV>
        </wp:anchor>
      </w:drawing>
    </w:r>
    <w:r w:rsidR="006F36CA">
      <w:rPr>
        <w:noProof/>
      </w:rPr>
      <w:drawing>
        <wp:anchor distT="0" distB="0" distL="114300" distR="114300" simplePos="0" relativeHeight="251659264" behindDoc="0" locked="0" layoutInCell="1" allowOverlap="1" wp14:anchorId="32199976" wp14:editId="1B211372">
          <wp:simplePos x="0" y="0"/>
          <wp:positionH relativeFrom="column">
            <wp:posOffset>635</wp:posOffset>
          </wp:positionH>
          <wp:positionV relativeFrom="paragraph">
            <wp:posOffset>8927465</wp:posOffset>
          </wp:positionV>
          <wp:extent cx="7772400" cy="1127760"/>
          <wp:effectExtent l="0" t="0" r="0" b="0"/>
          <wp:wrapNone/>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1277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DE799" w14:textId="77777777" w:rsidR="00AF6969" w:rsidRDefault="00AF6969" w:rsidP="006F36CA">
      <w:pPr>
        <w:spacing w:after="0" w:line="240" w:lineRule="auto"/>
      </w:pPr>
      <w:r>
        <w:separator/>
      </w:r>
    </w:p>
  </w:footnote>
  <w:footnote w:type="continuationSeparator" w:id="0">
    <w:p w14:paraId="6959AEFC" w14:textId="77777777" w:rsidR="00AF6969" w:rsidRDefault="00AF6969" w:rsidP="006F36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EB856" w14:textId="642B32C9" w:rsidR="006F36CA" w:rsidRDefault="00E20A0F">
    <w:pPr>
      <w:pStyle w:val="Header"/>
    </w:pPr>
    <w:r>
      <w:rPr>
        <w:noProof/>
      </w:rPr>
      <w:drawing>
        <wp:anchor distT="0" distB="0" distL="114300" distR="114300" simplePos="0" relativeHeight="251671552" behindDoc="1" locked="0" layoutInCell="1" allowOverlap="1" wp14:anchorId="684845A0" wp14:editId="631981BC">
          <wp:simplePos x="0" y="0"/>
          <wp:positionH relativeFrom="column">
            <wp:posOffset>-923454</wp:posOffset>
          </wp:positionH>
          <wp:positionV relativeFrom="paragraph">
            <wp:posOffset>-488887</wp:posOffset>
          </wp:positionV>
          <wp:extent cx="7772400" cy="8631936"/>
          <wp:effectExtent l="0" t="0" r="0" b="4445"/>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746-312_Association_SLT-letterhead_US-NC.jpg"/>
                  <pic:cNvPicPr/>
                </pic:nvPicPr>
                <pic:blipFill rotWithShape="1">
                  <a:blip r:embed="rId1">
                    <a:extLst>
                      <a:ext uri="{28A0092B-C50C-407E-A947-70E740481C1C}">
                        <a14:useLocalDpi xmlns:a14="http://schemas.microsoft.com/office/drawing/2010/main" val="0"/>
                      </a:ext>
                    </a:extLst>
                  </a:blip>
                  <a:srcRect b="14182"/>
                  <a:stretch/>
                </pic:blipFill>
                <pic:spPr bwMode="auto">
                  <a:xfrm>
                    <a:off x="0" y="0"/>
                    <a:ext cx="7772400" cy="863193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4528B" w14:textId="0764BC95" w:rsidR="00614DCD" w:rsidRDefault="00614DCD">
    <w:pPr>
      <w:pStyle w:val="Header"/>
    </w:pPr>
    <w:r w:rsidRPr="00614DCD">
      <w:rPr>
        <w:noProof/>
      </w:rPr>
      <mc:AlternateContent>
        <mc:Choice Requires="wps">
          <w:drawing>
            <wp:anchor distT="0" distB="0" distL="114300" distR="114300" simplePos="0" relativeHeight="251669504" behindDoc="0" locked="0" layoutInCell="1" allowOverlap="1" wp14:anchorId="71604C5B" wp14:editId="3EA346A4">
              <wp:simplePos x="0" y="0"/>
              <wp:positionH relativeFrom="column">
                <wp:posOffset>4991100</wp:posOffset>
              </wp:positionH>
              <wp:positionV relativeFrom="paragraph">
                <wp:posOffset>142875</wp:posOffset>
              </wp:positionV>
              <wp:extent cx="1417320" cy="447675"/>
              <wp:effectExtent l="0" t="0" r="0" b="952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17320" cy="44767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023C4885" w14:textId="77777777" w:rsidR="00614DCD" w:rsidRPr="00D8085E" w:rsidRDefault="00614DCD" w:rsidP="00614DCD">
                          <w:pPr>
                            <w:pStyle w:val="Title"/>
                            <w:spacing w:line="240" w:lineRule="auto"/>
                            <w:jc w:val="right"/>
                            <w:rPr>
                              <w:rFonts w:ascii="Arial-BoldMT" w:hAnsi="Arial-BoldMT" w:cs="Arial-BoldMT"/>
                              <w:color w:val="808000"/>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604C5B" id="_x0000_t202" coordsize="21600,21600" o:spt="202" path="m,l,21600r21600,l21600,xe">
              <v:stroke joinstyle="miter"/>
              <v:path gradientshapeok="t" o:connecttype="rect"/>
            </v:shapetype>
            <v:shape id="Text Box 10" o:spid="_x0000_s1026" type="#_x0000_t202" style="position:absolute;margin-left:393pt;margin-top:11.25pt;width:111.6pt;height:3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" filled="f" stroked="f">
              <v:textbox>
                <w:txbxContent>
                  <w:p w14:paraId="023C4885" w14:textId="77777777" w:rsidR="00614DCD" w:rsidRPr="00D8085E" w:rsidRDefault="00614DCD" w:rsidP="00614DCD">
                    <w:pPr>
                      <w:pStyle w:val="Title"/>
                      <w:spacing w:line="240" w:lineRule="auto"/>
                      <w:jc w:val="right"/>
                      <w:rPr>
                        <w:rFonts w:ascii="Arial-BoldMT" w:hAnsi="Arial-BoldMT" w:cs="Arial-BoldMT"/>
                        <w:color w:val="808000"/>
                        <w:sz w:val="44"/>
                        <w:szCs w:val="44"/>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A5876"/>
    <w:multiLevelType w:val="hybridMultilevel"/>
    <w:tmpl w:val="E540705C"/>
    <w:lvl w:ilvl="0" w:tplc="04090013">
      <w:start w:val="1"/>
      <w:numFmt w:val="upperRoman"/>
      <w:lvlText w:val="%1."/>
      <w:lvlJc w:val="right"/>
      <w:pPr>
        <w:ind w:left="180" w:hanging="360"/>
      </w:p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 w15:restartNumberingAfterBreak="0">
    <w:nsid w:val="413C518B"/>
    <w:multiLevelType w:val="hybridMultilevel"/>
    <w:tmpl w:val="5DF2750C"/>
    <w:lvl w:ilvl="0" w:tplc="C352AF48">
      <w:start w:val="1"/>
      <w:numFmt w:val="upperLetter"/>
      <w:lvlText w:val="%1."/>
      <w:lvlJc w:val="left"/>
      <w:pPr>
        <w:ind w:left="180" w:hanging="360"/>
      </w:pPr>
      <w:rPr>
        <w:b w:val="0"/>
        <w:i w:val="0"/>
        <w:sz w:val="20"/>
        <w:szCs w:val="2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 w15:restartNumberingAfterBreak="0">
    <w:nsid w:val="4E4A43D7"/>
    <w:multiLevelType w:val="hybridMultilevel"/>
    <w:tmpl w:val="C5A499EA"/>
    <w:lvl w:ilvl="0" w:tplc="04090013">
      <w:start w:val="1"/>
      <w:numFmt w:val="upperRoman"/>
      <w:lvlText w:val="%1."/>
      <w:lvlJc w:val="right"/>
      <w:pPr>
        <w:ind w:left="180" w:hanging="360"/>
      </w:pPr>
    </w:lvl>
    <w:lvl w:ilvl="1" w:tplc="04090001">
      <w:start w:val="1"/>
      <w:numFmt w:val="bullet"/>
      <w:lvlText w:val=""/>
      <w:lvlJc w:val="left"/>
      <w:pPr>
        <w:ind w:left="900" w:hanging="360"/>
      </w:pPr>
      <w:rPr>
        <w:rFonts w:ascii="Symbol" w:hAnsi="Symbol" w:hint="default"/>
      </w:r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 w15:restartNumberingAfterBreak="0">
    <w:nsid w:val="5D6A7DF2"/>
    <w:multiLevelType w:val="hybridMultilevel"/>
    <w:tmpl w:val="0AD83D1C"/>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4" w15:restartNumberingAfterBreak="0">
    <w:nsid w:val="691F191D"/>
    <w:multiLevelType w:val="hybridMultilevel"/>
    <w:tmpl w:val="529EDAE4"/>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5" w15:restartNumberingAfterBreak="0">
    <w:nsid w:val="7BC04B67"/>
    <w:multiLevelType w:val="hybridMultilevel"/>
    <w:tmpl w:val="EDF0991A"/>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6CA"/>
    <w:rsid w:val="00024E02"/>
    <w:rsid w:val="000E19D2"/>
    <w:rsid w:val="00181FCB"/>
    <w:rsid w:val="00186A55"/>
    <w:rsid w:val="001A4BF7"/>
    <w:rsid w:val="001C740F"/>
    <w:rsid w:val="001F4099"/>
    <w:rsid w:val="00293A95"/>
    <w:rsid w:val="002F5BCB"/>
    <w:rsid w:val="00333FF8"/>
    <w:rsid w:val="00391F1D"/>
    <w:rsid w:val="003F5FE6"/>
    <w:rsid w:val="00450CBC"/>
    <w:rsid w:val="004B74DC"/>
    <w:rsid w:val="004C51DE"/>
    <w:rsid w:val="00560DE1"/>
    <w:rsid w:val="00595EC1"/>
    <w:rsid w:val="00614DCD"/>
    <w:rsid w:val="006A4AAA"/>
    <w:rsid w:val="006F3106"/>
    <w:rsid w:val="006F36CA"/>
    <w:rsid w:val="0084448A"/>
    <w:rsid w:val="0088358F"/>
    <w:rsid w:val="008E417D"/>
    <w:rsid w:val="009228CB"/>
    <w:rsid w:val="00925EF9"/>
    <w:rsid w:val="00966078"/>
    <w:rsid w:val="009B3EA2"/>
    <w:rsid w:val="009D5E78"/>
    <w:rsid w:val="00A5196E"/>
    <w:rsid w:val="00AF6969"/>
    <w:rsid w:val="00B226B3"/>
    <w:rsid w:val="00B95EB9"/>
    <w:rsid w:val="00C13666"/>
    <w:rsid w:val="00C83787"/>
    <w:rsid w:val="00C85082"/>
    <w:rsid w:val="00D9282A"/>
    <w:rsid w:val="00E20A0F"/>
    <w:rsid w:val="00E350C0"/>
    <w:rsid w:val="00E4431E"/>
    <w:rsid w:val="00EA19D4"/>
    <w:rsid w:val="00EA505A"/>
    <w:rsid w:val="00EA5D4B"/>
    <w:rsid w:val="00EB2791"/>
    <w:rsid w:val="00F74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8B1102"/>
  <w15:chartTrackingRefBased/>
  <w15:docId w15:val="{68CD39BA-7DBB-4F97-9E33-D7EB35FF0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6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6CA"/>
  </w:style>
  <w:style w:type="paragraph" w:styleId="Footer">
    <w:name w:val="footer"/>
    <w:basedOn w:val="Normal"/>
    <w:link w:val="FooterChar"/>
    <w:unhideWhenUsed/>
    <w:rsid w:val="006F36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6CA"/>
  </w:style>
  <w:style w:type="paragraph" w:styleId="Title">
    <w:name w:val="Title"/>
    <w:basedOn w:val="Normal"/>
    <w:link w:val="TitleChar"/>
    <w:uiPriority w:val="99"/>
    <w:qFormat/>
    <w:rsid w:val="006F36CA"/>
    <w:pPr>
      <w:widowControl w:val="0"/>
      <w:autoSpaceDE w:val="0"/>
      <w:autoSpaceDN w:val="0"/>
      <w:adjustRightInd w:val="0"/>
      <w:spacing w:after="0" w:line="640" w:lineRule="atLeast"/>
      <w:textAlignment w:val="center"/>
    </w:pPr>
    <w:rPr>
      <w:rFonts w:ascii="Avenir-Heavy" w:eastAsia="MS Mincho" w:hAnsi="Avenir-Heavy" w:cs="Avenir-Heavy"/>
      <w:color w:val="020202"/>
      <w:sz w:val="48"/>
      <w:szCs w:val="48"/>
      <w:lang w:eastAsia="ja-JP"/>
    </w:rPr>
  </w:style>
  <w:style w:type="character" w:customStyle="1" w:styleId="TitleChar">
    <w:name w:val="Title Char"/>
    <w:basedOn w:val="DefaultParagraphFont"/>
    <w:link w:val="Title"/>
    <w:uiPriority w:val="99"/>
    <w:rsid w:val="006F36CA"/>
    <w:rPr>
      <w:rFonts w:ascii="Avenir-Heavy" w:eastAsia="MS Mincho" w:hAnsi="Avenir-Heavy" w:cs="Avenir-Heavy"/>
      <w:color w:val="020202"/>
      <w:sz w:val="48"/>
      <w:szCs w:val="48"/>
      <w:lang w:eastAsia="ja-JP"/>
    </w:rPr>
  </w:style>
  <w:style w:type="paragraph" w:styleId="ListParagraph">
    <w:name w:val="List Paragraph"/>
    <w:basedOn w:val="Normal"/>
    <w:uiPriority w:val="34"/>
    <w:qFormat/>
    <w:rsid w:val="009B3EA2"/>
    <w:pPr>
      <w:ind w:left="720"/>
      <w:contextualSpacing/>
    </w:pPr>
  </w:style>
  <w:style w:type="character" w:styleId="CommentReference">
    <w:name w:val="annotation reference"/>
    <w:basedOn w:val="DefaultParagraphFont"/>
    <w:uiPriority w:val="99"/>
    <w:semiHidden/>
    <w:unhideWhenUsed/>
    <w:rsid w:val="00925EF9"/>
    <w:rPr>
      <w:sz w:val="16"/>
      <w:szCs w:val="16"/>
    </w:rPr>
  </w:style>
  <w:style w:type="paragraph" w:styleId="CommentText">
    <w:name w:val="annotation text"/>
    <w:basedOn w:val="Normal"/>
    <w:link w:val="CommentTextChar"/>
    <w:uiPriority w:val="99"/>
    <w:semiHidden/>
    <w:unhideWhenUsed/>
    <w:rsid w:val="00925EF9"/>
    <w:pPr>
      <w:spacing w:line="240" w:lineRule="auto"/>
    </w:pPr>
    <w:rPr>
      <w:sz w:val="20"/>
      <w:szCs w:val="20"/>
    </w:rPr>
  </w:style>
  <w:style w:type="character" w:customStyle="1" w:styleId="CommentTextChar">
    <w:name w:val="Comment Text Char"/>
    <w:basedOn w:val="DefaultParagraphFont"/>
    <w:link w:val="CommentText"/>
    <w:uiPriority w:val="99"/>
    <w:semiHidden/>
    <w:rsid w:val="00925EF9"/>
    <w:rPr>
      <w:sz w:val="20"/>
      <w:szCs w:val="20"/>
    </w:rPr>
  </w:style>
  <w:style w:type="paragraph" w:styleId="CommentSubject">
    <w:name w:val="annotation subject"/>
    <w:basedOn w:val="CommentText"/>
    <w:next w:val="CommentText"/>
    <w:link w:val="CommentSubjectChar"/>
    <w:uiPriority w:val="99"/>
    <w:semiHidden/>
    <w:unhideWhenUsed/>
    <w:rsid w:val="00925EF9"/>
    <w:rPr>
      <w:b/>
      <w:bCs/>
    </w:rPr>
  </w:style>
  <w:style w:type="character" w:customStyle="1" w:styleId="CommentSubjectChar">
    <w:name w:val="Comment Subject Char"/>
    <w:basedOn w:val="CommentTextChar"/>
    <w:link w:val="CommentSubject"/>
    <w:uiPriority w:val="99"/>
    <w:semiHidden/>
    <w:rsid w:val="00925EF9"/>
    <w:rPr>
      <w:b/>
      <w:bCs/>
      <w:sz w:val="20"/>
      <w:szCs w:val="20"/>
    </w:rPr>
  </w:style>
  <w:style w:type="paragraph" w:styleId="BalloonText">
    <w:name w:val="Balloon Text"/>
    <w:basedOn w:val="Normal"/>
    <w:link w:val="BalloonTextChar"/>
    <w:uiPriority w:val="99"/>
    <w:semiHidden/>
    <w:unhideWhenUsed/>
    <w:rsid w:val="00925E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EF9"/>
    <w:rPr>
      <w:rFonts w:ascii="Segoe UI" w:hAnsi="Segoe UI" w:cs="Segoe UI"/>
      <w:sz w:val="18"/>
      <w:szCs w:val="18"/>
    </w:rPr>
  </w:style>
  <w:style w:type="character" w:styleId="PageNumber">
    <w:name w:val="page number"/>
    <w:basedOn w:val="DefaultParagraphFont"/>
    <w:semiHidden/>
    <w:rsid w:val="00EA5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Roles xmlns="FF6082A7-35C7-4C9C-BFC7-79CC82867568">;#AICPA.RLUNV0001;#</Roles>
    <CoremetricsCategoryID xmlns="FF6082A7-35C7-4C9C-BFC7-79CC82867568" xsi:nil="true"/>
    <PublishingRollupImage xmlns="http://schemas.microsoft.com/sharepoint/v3" xsi:nil="true"/>
    <PublishingContactEmail xmlns="http://schemas.microsoft.com/sharepoint/v3" xsi:nil="true"/>
    <DocumentType xmlns="FF6082A7-35C7-4C9C-BFC7-79CC82867568">ec18ae1d-d014-47a9-b020-bb50d7844b07</DocumentType>
    <Abstract xmlns="FF6082A7-35C7-4C9C-BFC7-79CC82867568">Sample Not-for-Profit Operation Reserve Policy 
</Abstract>
    <Topic xmlns="FF6082A7-35C7-4C9C-BFC7-79CC82867568">682b1776-07c1-43ba-87bf-e0d62ca28037,34314537-6d06-4ad0-bb75-c4d66aac1d22</Topic>
    <ExcludeFromSearch xmlns="FF6082A7-35C7-4C9C-BFC7-79CC82867568">false</ExcludeFromSearch>
    <Subtitle xmlns="FF6082A7-35C7-4C9C-BFC7-79CC82867568" xsi:nil="true"/>
    <PracticeArea xmlns="http://schemas.microsoft.com/sharepoint/v3/fields">
      <Value>5</Value>
    </PracticeArea>
    <PublishingExpirationDate xmlns="http://schemas.microsoft.com/sharepoint/v3" xsi:nil="true"/>
    <PublishingContactPicture xmlns="http://schemas.microsoft.com/sharepoint/v3">
      <Url xsi:nil="true"/>
      <Description xsi:nil="true"/>
    </PublishingContactPicture>
    <PublishingStartDate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&lt;div&gt;Sample Not-for-Profit Operation Reserve Policy&lt;/div&gt;</Comments>
    <CoremetricsPageID xmlns="FF6082A7-35C7-4C9C-BFC7-79CC82867568" xsi:nil="true"/>
    <CSCAccessLevel xmlns="FF6082A7-35C7-4C9C-BFC7-79CC82867568" xsi:nil="true"/>
    <OrigArticleDate xmlns="FF6082A7-35C7-4C9C-BFC7-79CC82867568" xsi:nil="true"/>
    <LegacyUrl xmlns="FF6082A7-35C7-4C9C-BFC7-79CC82867568">
      <Url xsi:nil="true"/>
      <Description xsi:nil="true"/>
    </LegacyUrl>
    <GoogleAnalyticsCode xmlns="ff6082a7-35c7-4c9c-bfc7-79cc82867568" xsi:nil="true"/>
    <AICPABecomeAMember xmlns="ff6082a7-35c7-4c9c-bfc7-79cc82867568" xsi:nil="true"/>
    <Industry xmlns="ff6082a7-35c7-4c9c-bfc7-79cc82867568" xsi:nil="true"/>
    <CopyrightInfo xmlns="ff6082a7-35c7-4c9c-bfc7-79cc82867568" xsi:nil="true"/>
    <AICPAPromotionSlider xmlns="ff6082a7-35c7-4c9c-bfc7-79cc82867568" xsi:nil="true"/>
    <AICPAResourceSlider xmlns="ff6082a7-35c7-4c9c-bfc7-79cc82867568" xsi:nil="true"/>
    <PublishingVariationRelationshipLinkFieldID xmlns="http://schemas.microsoft.com/sharepoint/v3">
      <Url xsi:nil="true"/>
      <Description xsi:nil="true"/>
    </PublishingVariationRelationshipLinkFieldID>
    <AICPAMetaTitle xmlns="ff6082a7-35c7-4c9c-bfc7-79cc82867568" xsi:nil="true"/>
    <DisplayGuidedNavigation xmlns="ff6082a7-35c7-4c9c-bfc7-79cc82867568">Show</DisplayGuidedNavigation>
    <PublishingVariationGroupID xmlns="http://schemas.microsoft.com/sharepoint/v3" xsi:nil="true"/>
    <HomePageTab1 xmlns="ff6082a7-35c7-4c9c-bfc7-79cc82867568" xsi:nil="true"/>
    <AICPAMetaDescription xmlns="ff6082a7-35c7-4c9c-bfc7-79cc82867568" xsi:nil="true"/>
    <Audience xmlns="http://schemas.microsoft.com/sharepoint/v3" xsi:nil="true"/>
    <AICPAPageContent xmlns="ff6082a7-35c7-4c9c-bfc7-79cc82867568" xsi:nil="true"/>
    <AICPAInterestAreas xmlns="ff6082a7-35c7-4c9c-bfc7-79cc82867568" xsi:nil="true"/>
    <AICPAMetaKeywords xmlns="ff6082a7-35c7-4c9c-bfc7-79cc82867568" xsi:nil="true"/>
    <HomePageTab2 xmlns="ff6082a7-35c7-4c9c-bfc7-79cc82867568" xsi:nil="true"/>
    <Committee xmlns="ff6082a7-35c7-4c9c-bfc7-79cc82867568" xsi:nil="true"/>
    <HomePageTab3 xmlns="ff6082a7-35c7-4c9c-bfc7-79cc82867568" xsi:nil="true"/>
    <FooterCopyrightInfo xmlns="ff6082a7-35c7-4c9c-bfc7-79cc82867568" xsi:nil="true"/>
    <ShowPrimaryNavigation xmlns="ff6082a7-35c7-4c9c-bfc7-79cc8286756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wnloadable Document" ma:contentTypeID="0x010100C568DB52D9D0A14D9B2FDCC96666E9F2007948130EC3DB064584E219954237AF3900C091C3940B5C43A680422C1A537FF75A020700E1D1807DC1813941A90E31BB36ADD447" ma:contentTypeVersion="40" ma:contentTypeDescription="Create a downloadable document in this library" ma:contentTypeScope="" ma:versionID="d70a6caf0934e1c66f0fc7ff8c5d6ca6">
  <xsd:schema xmlns:xsd="http://www.w3.org/2001/XMLSchema" xmlns:p="http://schemas.microsoft.com/office/2006/metadata/properties" xmlns:ns1="http://schemas.microsoft.com/sharepoint/v3" xmlns:ns2="FF6082A7-35C7-4C9C-BFC7-79CC82867568" xmlns:ns3="http://schemas.microsoft.com/sharepoint/v3/fields" xmlns:ns4="ff6082a7-35c7-4c9c-bfc7-79cc82867568" targetNamespace="http://schemas.microsoft.com/office/2006/metadata/properties" ma:root="true" ma:fieldsID="3ae8fe11363142f0715049c9b80c6fde" ns1:_="" ns2:_="" ns3:_="" ns4:_="">
    <xsd:import namespace="http://schemas.microsoft.com/sharepoint/v3"/>
    <xsd:import namespace="FF6082A7-35C7-4C9C-BFC7-79CC82867568"/>
    <xsd:import namespace="http://schemas.microsoft.com/sharepoint/v3/fields"/>
    <xsd:import namespace="ff6082a7-35c7-4c9c-bfc7-79cc82867568"/>
    <xsd:element name="properties">
      <xsd:complexType>
        <xsd:sequence>
          <xsd:element name="documentManagement">
            <xsd:complexType>
              <xsd:all>
                <xsd:element ref="ns1:Comments" minOccurs="0"/>
                <xsd:element ref="ns1:PublishingContact" minOccurs="0"/>
                <xsd:element ref="ns1:PublishingContactEmail" minOccurs="0"/>
                <xsd:element ref="ns1:PublishingContactName" minOccurs="0"/>
                <xsd:element ref="ns1:PublishingContactPicture" minOccurs="0"/>
                <xsd:element ref="ns1:PublishingRollupImage" minOccurs="0"/>
                <xsd:element ref="ns2:Subtitle" minOccurs="0"/>
                <xsd:element ref="ns2:Abstract" minOccurs="0"/>
                <xsd:element ref="ns2:Topic" minOccurs="0"/>
                <xsd:element ref="ns2:DocumentType" minOccurs="0"/>
                <xsd:element ref="ns3:PracticeArea" minOccurs="0"/>
                <xsd:element ref="ns2:Roles" minOccurs="0"/>
                <xsd:element ref="ns2:CoremetricsPageID" minOccurs="0"/>
                <xsd:element ref="ns2:CoremetricsCategoryID" minOccurs="0"/>
                <xsd:element ref="ns2:CSCAccessLevel" minOccurs="0"/>
                <xsd:element ref="ns2:OrigArticleDate" minOccurs="0"/>
                <xsd:element ref="ns2:LegacyUrl" minOccurs="0"/>
                <xsd:element ref="ns1:PublishingStartDate" minOccurs="0"/>
                <xsd:element ref="ns1:PublishingExpirationDate" minOccurs="0"/>
                <xsd:element ref="ns2:ExcludeFromSearch" minOccurs="0"/>
                <xsd:element ref="ns1:PublishingPageLayout" minOccurs="0"/>
                <xsd:element ref="ns1:PublishingVariationGroupID" minOccurs="0"/>
                <xsd:element ref="ns1:PublishingVariationRelationshipLinkFieldID" minOccurs="0"/>
                <xsd:element ref="ns1:Audience" minOccurs="0"/>
                <xsd:element ref="ns4:AICPAPageContent" minOccurs="0"/>
                <xsd:element ref="ns4:CopyrightInfo" minOccurs="0"/>
                <xsd:element ref="ns4:FooterCopyrightInfo" minOccurs="0"/>
                <xsd:element ref="ns4:Committee" minOccurs="0"/>
                <xsd:element ref="ns4:DisplayGuidedNavigation" minOccurs="0"/>
                <xsd:element ref="ns4:ShowPrimaryNavigation" minOccurs="0"/>
                <xsd:element ref="ns4:GoogleAnalyticsCode" minOccurs="0"/>
                <xsd:element ref="ns4:Industry" minOccurs="0"/>
                <xsd:element ref="ns4:AICPAMetaTitle" minOccurs="0"/>
                <xsd:element ref="ns4:AICPAMetaDescription" minOccurs="0"/>
                <xsd:element ref="ns4:AICPAMetaKeywords" minOccurs="0"/>
                <xsd:element ref="ns4:HomePageTab1" minOccurs="0"/>
                <xsd:element ref="ns4:HomePageTab2" minOccurs="0"/>
                <xsd:element ref="ns4:HomePageTab3" minOccurs="0"/>
                <xsd:element ref="ns4:AICPAPromotionSlider" minOccurs="0"/>
                <xsd:element ref="ns4:AICPABecomeAMember" minOccurs="0"/>
                <xsd:element ref="ns4:AICPAInterestAreas" minOccurs="0"/>
                <xsd:element ref="ns4:AICPAResourceSlider"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Comments" ma:index="8" nillable="true" ma:displayName="Description" ma:internalName="Comments">
      <xsd:simpleType>
        <xsd:restriction base="dms:Note"/>
      </xsd:simpleType>
    </xsd:element>
    <xsd:element name="PublishingContact" ma:index="9" nillable="true" ma:displayName="Contact"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0" nillable="true" ma:displayName="Contact E-Mail Address" ma:internalName="PublishingContactEmail">
      <xsd:simpleType>
        <xsd:restriction base="dms:Text">
          <xsd:maxLength value="255"/>
        </xsd:restriction>
      </xsd:simpleType>
    </xsd:element>
    <xsd:element name="PublishingContactName" ma:index="11" nillable="true" ma:displayName="Contact Name" ma:internalName="PublishingContactName">
      <xsd:simpleType>
        <xsd:restriction base="dms:Text">
          <xsd:maxLength value="255"/>
        </xsd:restriction>
      </xsd:simpleType>
    </xsd:element>
    <xsd:element name="PublishingContactPicture" ma:index="12" nillable="true" ma:displayName="Contact Pictur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3" nillable="true" ma:displayName="Rollup Image" ma:internalName="PublishingRollupImage">
      <xsd:simpleType>
        <xsd:restriction base="dms:Unknown"/>
      </xsd:simpleType>
    </xsd:element>
    <xsd:element name="PublishingStartDate" ma:index="27" nillable="true" ma:displayName="Scheduling Start Date" ma:description="" ma:internalName="PublishingStartDate">
      <xsd:simpleType>
        <xsd:restriction base="dms:Unknown"/>
      </xsd:simpleType>
    </xsd:element>
    <xsd:element name="PublishingExpirationDate" ma:index="28" nillable="true" ma:displayName="Scheduling End Date" ma:description="" ma:internalName="PublishingExpirationDate">
      <xsd:simpleType>
        <xsd:restriction base="dms:Unknown"/>
      </xsd:simpleType>
    </xsd:element>
    <xsd:element name="PublishingPageLayout" ma:index="31" nillable="true" ma:displayName="Page Layout"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32" nillable="true" ma:displayName="Variation Group ID" ma:hidden="true" ma:internalName="PublishingVariationGroupID">
      <xsd:simpleType>
        <xsd:restriction base="dms:Text">
          <xsd:maxLength value="255"/>
        </xsd:restriction>
      </xsd:simpleType>
    </xsd:element>
    <xsd:element name="PublishingVariationRelationshipLinkFieldID" ma:index="33" nillable="true" ma:displayName="Variation Relationship Link"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Audience" ma:index="34" nillable="true" ma:displayName="Target Audiences" ma:description="" ma:internalName="Audience">
      <xsd:simpleType>
        <xsd:restriction base="dms:Unknown"/>
      </xsd:simpleType>
    </xsd:element>
  </xsd:schema>
  <xsd:schema xmlns:xsd="http://www.w3.org/2001/XMLSchema" xmlns:dms="http://schemas.microsoft.com/office/2006/documentManagement/types" targetNamespace="FF6082A7-35C7-4C9C-BFC7-79CC82867568" elementFormDefault="qualified">
    <xsd:import namespace="http://schemas.microsoft.com/office/2006/documentManagement/types"/>
    <xsd:element name="Subtitle" ma:index="14" nillable="true" ma:displayName="Subtitle" ma:description="" ma:internalName="Subtitle">
      <xsd:simpleType>
        <xsd:restriction base="dms:Text">
          <xsd:maxLength value="255"/>
        </xsd:restriction>
      </xsd:simpleType>
    </xsd:element>
    <xsd:element name="Abstract" ma:index="16" nillable="true" ma:displayName="Abstract" ma:description="" ma:internalName="Abstract">
      <xsd:simpleType>
        <xsd:restriction base="dms:Unknown"/>
      </xsd:simpleType>
    </xsd:element>
    <xsd:element name="Topic" ma:index="18" nillable="true" ma:displayName="Topic" ma:description="Contains comma delimited guids" ma:internalName="Topic">
      <xsd:simpleType>
        <xsd:restriction base="dms:Unknown"/>
      </xsd:simpleType>
    </xsd:element>
    <xsd:element name="DocumentType" ma:index="19" nillable="true" ma:displayName="Document Type" ma:description="Contains comma delimited guids" ma:internalName="DocumentType">
      <xsd:simpleType>
        <xsd:restriction base="dms:Unknown"/>
      </xsd:simpleType>
    </xsd:element>
    <xsd:element name="Roles" ma:index="21" nillable="true" ma:displayName="Roles" ma:description="" ma:internalName="Roles">
      <xsd:simpleType>
        <xsd:restriction base="dms:Unknown"/>
      </xsd:simpleType>
    </xsd:element>
    <xsd:element name="CoremetricsPageID" ma:index="22" nillable="true" ma:displayName="Coremetrics Page ID" ma:description="" ma:internalName="CoremetricsPageID">
      <xsd:simpleType>
        <xsd:restriction base="dms:Text">
          <xsd:maxLength value="50"/>
        </xsd:restriction>
      </xsd:simpleType>
    </xsd:element>
    <xsd:element name="CoremetricsCategoryID" ma:index="23" nillable="true" ma:displayName="Coremetrics Category ID" ma:description="" ma:internalName="CoremetricsCategoryID">
      <xsd:simpleType>
        <xsd:restriction base="dms:Text">
          <xsd:maxLength value="50"/>
        </xsd:restriction>
      </xsd:simpleType>
    </xsd:element>
    <xsd:element name="CSCAccessLevel" ma:index="24" nillable="true" ma:displayName="Legacy CSC Access Level" ma:decimals="0" ma:description="Legacy CSC site access level" ma:internalName="CSCAccessLevel" ma:readOnly="true">
      <xsd:simpleType>
        <xsd:restriction base="dms:Number">
          <xsd:maxInclusive value="4"/>
          <xsd:minInclusive value="1"/>
        </xsd:restriction>
      </xsd:simpleType>
    </xsd:element>
    <xsd:element name="OrigArticleDate" ma:index="25" nillable="true" ma:displayName="Original Article Date" ma:description="" ma:internalName="OrigArticleDate" ma:readOnly="true">
      <xsd:simpleType>
        <xsd:restriction base="dms:DateTime"/>
      </xsd:simpleType>
    </xsd:element>
    <xsd:element name="LegacyUrl" ma:index="26" nillable="true" ma:displayName="Legacy Article Url" ma:description="" ma:internalName="Legacy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ExcludeFromSearch" ma:index="29" nillable="true" ma:displayName="Exclude From Internal Search" ma:internalName="ExcludeFromSearch">
      <xsd:simpleType>
        <xsd:restriction base="dms:Boolea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PracticeArea" ma:index="20" nillable="true" ma:displayName="Practice Area" ma:description="" ma:list="00ae9e9f-b187-4549-a137-3970cfd0c2af" ma:internalName="PracticeArea" ma:showField="Title" ma:web="e1927741-d4ef-4e34-a580-c3e12e9be2d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dms="http://schemas.microsoft.com/office/2006/documentManagement/types" targetNamespace="ff6082a7-35c7-4c9c-bfc7-79cc82867568" elementFormDefault="qualified">
    <xsd:import namespace="http://schemas.microsoft.com/office/2006/documentManagement/types"/>
    <xsd:element name="AICPAPageContent" ma:index="35" nillable="true" ma:displayName="AICPA Page Content" ma:description="" ma:internalName="AICPAPageContent">
      <xsd:simpleType>
        <xsd:restriction base="dms:Unknown"/>
      </xsd:simpleType>
    </xsd:element>
    <xsd:element name="CopyrightInfo" ma:index="36" nillable="true" ma:displayName="Include Copyright Info" ma:description="" ma:internalName="CopyrightInfo">
      <xsd:simpleType>
        <xsd:restriction base="dms:Boolean"/>
      </xsd:simpleType>
    </xsd:element>
    <xsd:element name="FooterCopyrightInfo" ma:index="37" nillable="true" ma:displayName="Include Footer Copyright Info" ma:description="" ma:internalName="FooterCopyrightInfo">
      <xsd:simpleType>
        <xsd:restriction base="dms:Boolean"/>
      </xsd:simpleType>
    </xsd:element>
    <xsd:element name="Committee" ma:index="38" nillable="true" ma:displayName="Committee" ma:description="" ma:internalName="Committee">
      <xsd:simpleType>
        <xsd:restriction base="dms:Text">
          <xsd:maxLength value="50"/>
        </xsd:restriction>
      </xsd:simpleType>
    </xsd:element>
    <xsd:element name="DisplayGuidedNavigation" ma:index="39" nillable="true" ma:displayName="Display GuidedNavigation" ma:default="Show" ma:format="RadioButtons" ma:internalName="DisplayGuidedNavigation">
      <xsd:simpleType>
        <xsd:restriction base="dms:Choice">
          <xsd:enumeration value="Show"/>
          <xsd:enumeration value="Hide"/>
        </xsd:restriction>
      </xsd:simpleType>
    </xsd:element>
    <xsd:element name="ShowPrimaryNavigation" ma:index="40" nillable="true" ma:displayName="Show Primary Navigation" ma:description="Show Hide primary navigation on the page" ma:internalName="ShowPrimaryNavigation">
      <xsd:simpleType>
        <xsd:restriction base="dms:Boolean"/>
      </xsd:simpleType>
    </xsd:element>
    <xsd:element name="GoogleAnalyticsCode" ma:index="41" nillable="true" ma:displayName="Google Analytics Code" ma:description="" ma:internalName="GoogleAnalyticsCode">
      <xsd:simpleType>
        <xsd:restriction base="dms:Unknown"/>
      </xsd:simpleType>
    </xsd:element>
    <xsd:element name="Industry" ma:index="42" nillable="true" ma:displayName="Industry" ma:format="RadioButtons" ma:internalName="Industry">
      <xsd:simpleType>
        <xsd:restriction base="dms:Choice">
          <xsd:enumeration value="None"/>
          <xsd:enumeration value="Airlines"/>
          <xsd:enumeration value="Construction"/>
          <xsd:enumeration value="Depository and Lending Institutions"/>
          <xsd:enumeration value="Employee Benefit Plans"/>
          <xsd:enumeration value="Healthcare"/>
          <xsd:enumeration value="Insurance"/>
          <xsd:enumeration value="Investment Companies"/>
          <xsd:enumeration value="Not-for-Profit"/>
          <xsd:enumeration value="Oil and Gas"/>
          <xsd:enumeration value="State and Local Governments"/>
          <xsd:enumeration value="Stockbrokerage and Investment Banking"/>
        </xsd:restriction>
      </xsd:simpleType>
    </xsd:element>
    <xsd:element name="AICPAMetaTitle" ma:index="43" nillable="true" ma:displayName="AICPA Meta Title" ma:description="AICPA Meta Title" ma:internalName="AICPAMetaTitle">
      <xsd:simpleType>
        <xsd:restriction base="dms:Note">
          <xsd:maxLength value="70"/>
        </xsd:restriction>
      </xsd:simpleType>
    </xsd:element>
    <xsd:element name="AICPAMetaDescription" ma:index="44" nillable="true" ma:displayName="AICPA Meta Description" ma:description="AICPA Meta Description" ma:internalName="AICPAMetaDescription">
      <xsd:simpleType>
        <xsd:restriction base="dms:Note">
          <xsd:maxLength value="200"/>
        </xsd:restriction>
      </xsd:simpleType>
    </xsd:element>
    <xsd:element name="AICPAMetaKeywords" ma:index="45" nillable="true" ma:displayName="AICPA Meta Keywords" ma:description="AICPA Meta Keywords" ma:internalName="AICPAMetaKeywords">
      <xsd:simpleType>
        <xsd:restriction base="dms:Note">
          <xsd:maxLength value="70"/>
        </xsd:restriction>
      </xsd:simpleType>
    </xsd:element>
    <xsd:element name="HomePageTab1" ma:index="46" nillable="true" ma:displayName="Home Page Tab1" ma:internalName="HomePageTab1">
      <xsd:simpleType>
        <xsd:restriction base="dms:Unknown"/>
      </xsd:simpleType>
    </xsd:element>
    <xsd:element name="HomePageTab2" ma:index="47" nillable="true" ma:displayName="Home Page Tab2" ma:internalName="HomePageTab2">
      <xsd:simpleType>
        <xsd:restriction base="dms:Unknown"/>
      </xsd:simpleType>
    </xsd:element>
    <xsd:element name="HomePageTab3" ma:index="48" nillable="true" ma:displayName="Home Page Tab3" ma:internalName="HomePageTab3">
      <xsd:simpleType>
        <xsd:restriction base="dms:Unknown"/>
      </xsd:simpleType>
    </xsd:element>
    <xsd:element name="AICPAPromotionSlider" ma:index="49" nillable="true" ma:displayName="AICPAPromotionSlider" ma:description="AICPA Promotion Slider Field" ma:internalName="AICPAPromotionSlider">
      <xsd:simpleType>
        <xsd:restriction base="dms:Unknown"/>
      </xsd:simpleType>
    </xsd:element>
    <xsd:element name="AICPABecomeAMember" ma:index="50" nillable="true" ma:displayName="AICPABecomeAMember" ma:description="AICPA Become A Member Field" ma:internalName="AICPABecomeAMember">
      <xsd:simpleType>
        <xsd:restriction base="dms:Unknown"/>
      </xsd:simpleType>
    </xsd:element>
    <xsd:element name="AICPAInterestAreas" ma:index="51" nillable="true" ma:displayName="AICPAInterestAreas" ma:description="AICPA Interest Areas Field" ma:internalName="AICPAInterestAreas">
      <xsd:simpleType>
        <xsd:restriction base="dms:Unknown"/>
      </xsd:simpleType>
    </xsd:element>
    <xsd:element name="AICPAResourceSlider" ma:index="52" nillable="true" ma:displayName="AICPA ResourceSlider" ma:description="AICPA Resource Slider Field" ma:internalName="AICPAResourceSlid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5"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3E517C9-837E-4B06-ACFC-951E4FA54FCF}">
  <ds:schemaRefs>
    <ds:schemaRef ds:uri="http://schemas.microsoft.com/sharepoint/v3/contenttype/forms"/>
  </ds:schemaRefs>
</ds:datastoreItem>
</file>

<file path=customXml/itemProps2.xml><?xml version="1.0" encoding="utf-8"?>
<ds:datastoreItem xmlns:ds="http://schemas.openxmlformats.org/officeDocument/2006/customXml" ds:itemID="{98F1141C-7062-4502-B4B3-B7592F2AFC1E}">
  <ds:schemaRefs>
    <ds:schemaRef ds:uri="http://schemas.microsoft.com/office/2006/metadata/properties"/>
    <ds:schemaRef ds:uri="FF6082A7-35C7-4C9C-BFC7-79CC82867568"/>
    <ds:schemaRef ds:uri="http://schemas.microsoft.com/sharepoint/v3"/>
    <ds:schemaRef ds:uri="http://schemas.microsoft.com/sharepoint/v3/fields"/>
    <ds:schemaRef ds:uri="ff6082a7-35c7-4c9c-bfc7-79cc82867568"/>
  </ds:schemaRefs>
</ds:datastoreItem>
</file>

<file path=customXml/itemProps3.xml><?xml version="1.0" encoding="utf-8"?>
<ds:datastoreItem xmlns:ds="http://schemas.openxmlformats.org/officeDocument/2006/customXml" ds:itemID="{62325E4D-E54D-41B8-82A2-A31CFBF29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F6082A7-35C7-4C9C-BFC7-79CC82867568"/>
    <ds:schemaRef ds:uri="http://schemas.microsoft.com/sharepoint/v3/fields"/>
    <ds:schemaRef ds:uri="ff6082a7-35c7-4c9c-bfc7-79cc8286756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1508</Words>
  <Characters>8601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Not-for-Profit Operating Reserve Policy</vt:lpstr>
    </vt:vector>
  </TitlesOfParts>
  <Company/>
  <LinksUpToDate>false</LinksUpToDate>
  <CharactersWithSpaces>10089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Not-for-Profit Operating Reserve Policy</dc:title>
  <dc:subject/>
  <dc:creator>Dave Cohen</dc:creator>
  <cp:keywords/>
  <dc:description/>
  <cp:lastModifiedBy>Neemarie Alam</cp:lastModifiedBy>
  <cp:revision>2</cp:revision>
  <cp:lastPrinted>2018-10-18T00:43:00Z</cp:lastPrinted>
  <dcterms:created xsi:type="dcterms:W3CDTF">2019-04-30T18:45:00Z</dcterms:created>
  <dcterms:modified xsi:type="dcterms:W3CDTF">2019-04-30T18:45:00Z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0x010100C568DB52D9D0A14D9B2FDCC96666E9F2007948130EC3DB064584E219954237AF3900C091C3940B5C43A680422C1A537FF75A020700E1D1807DC1813941A90E31BB36ADD447</vt:lpwstr>
  </property>
</Properties>
</file>